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56.jpeg" ContentType="image/jpeg"/>
  <Override PartName="/word/media/image55.jpeg" ContentType="image/jpeg"/>
  <Override PartName="/word/media/image54.jpeg" ContentType="image/jpeg"/>
  <Override PartName="/word/media/image53.jpeg" ContentType="image/jpeg"/>
  <Override PartName="/word/media/image52.jpeg" ContentType="image/jpeg"/>
  <Override PartName="/word/media/image51.jpeg" ContentType="image/jpeg"/>
  <Override PartName="/word/media/image50.jpeg" ContentType="image/jpeg"/>
  <Override PartName="/word/media/image49.jpeg" ContentType="image/jpeg"/>
  <Override PartName="/word/media/image46.jpeg" ContentType="image/jpeg"/>
  <Override PartName="/word/media/image45.jpeg" ContentType="image/jpeg"/>
  <Override PartName="/word/media/image43.jpeg" ContentType="image/jpeg"/>
  <Override PartName="/word/media/image42.jpeg" ContentType="image/jpeg"/>
  <Override PartName="/word/media/image41.jpeg" ContentType="image/jpeg"/>
  <Override PartName="/word/media/image40.jpeg" ContentType="image/jpeg"/>
  <Override PartName="/word/media/image39.jpeg" ContentType="image/jpeg"/>
  <Override PartName="/word/media/image38.jpeg" ContentType="image/jpeg"/>
  <Override PartName="/word/media/image37.jpeg" ContentType="image/jpeg"/>
  <Override PartName="/word/media/image36.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109.jpeg" ContentType="image/jpeg"/>
  <Override PartName="/word/media/image31.jpeg" ContentType="image/jpeg"/>
  <Override PartName="/word/media/image108.jpeg" ContentType="image/jpeg"/>
  <Override PartName="/word/media/image44.jpeg" ContentType="image/jpeg"/>
  <Override PartName="/word/media/image12.png" ContentType="image/png"/>
  <Override PartName="/word/media/image9.jpeg" ContentType="image/jpeg"/>
  <Override PartName="/word/media/image13.jpeg" ContentType="image/jpeg"/>
  <Override PartName="/word/media/image8.jpeg" ContentType="image/jpeg"/>
  <Override PartName="/word/media/image99.jpeg" ContentType="image/jpeg"/>
  <Override PartName="/word/media/image48.jpeg" ContentType="image/jpeg"/>
  <Override PartName="/word/media/image11.jpeg" ContentType="image/jpeg"/>
  <Override PartName="/word/media/image47.jpeg" ContentType="image/jpeg"/>
  <Override PartName="/word/media/image10.jpeg" ContentType="image/jpeg"/>
  <Override PartName="/word/media/image30.jpeg" ContentType="image/jpeg"/>
  <Override PartName="/word/media/image107.jpeg" ContentType="image/jpeg"/>
  <Override PartName="/word/media/image2.png" ContentType="image/png"/>
  <Override PartName="/word/media/image26.jpeg" ContentType="image/jpeg"/>
  <Override PartName="/word/media/image91.jpeg" ContentType="image/jpeg"/>
  <Override PartName="/word/media/image59.jpeg" ContentType="image/jpeg"/>
  <Override PartName="/word/media/image22.jpeg" ContentType="image/jpeg"/>
  <Override PartName="/word/media/image14.jpeg" ContentType="image/jpeg"/>
  <Override PartName="/word/media/image15.jpeg" ContentType="image/jpeg"/>
  <Override PartName="/word/media/image80.jpeg" ContentType="image/jpeg"/>
  <Override PartName="/word/media/image16.jpeg" ContentType="image/jpeg"/>
  <Override PartName="/word/media/image81.jpeg" ContentType="image/jpeg"/>
  <Override PartName="/word/media/image1.png" ContentType="image/png"/>
  <Override PartName="/word/media/image100.jpeg" ContentType="image/jpeg"/>
  <Override PartName="/word/media/image17.jpeg" ContentType="image/jpeg"/>
  <Override PartName="/word/media/image82.jpeg" ContentType="image/jpeg"/>
  <Override PartName="/word/media/image18.jpeg" ContentType="image/jpeg"/>
  <Override PartName="/word/media/image83.jpeg" ContentType="image/jpeg"/>
  <Override PartName="/word/media/image57.jpeg" ContentType="image/jpeg"/>
  <Override PartName="/word/media/image20.jpeg" ContentType="image/jpeg"/>
  <Override PartName="/word/media/image19.jpeg" ContentType="image/jpeg"/>
  <Override PartName="/word/media/image84.jpeg" ContentType="image/jpeg"/>
  <Override PartName="/word/media/image58.jpeg" ContentType="image/jpeg"/>
  <Override PartName="/word/media/image21.jpeg" ContentType="image/jpeg"/>
  <Override PartName="/word/media/image70.jpeg" ContentType="image/jpeg"/>
  <Override PartName="/word/media/image102.jpeg" ContentType="image/jpeg"/>
  <Override PartName="/word/media/image71.jpeg" ContentType="image/jpeg"/>
  <Override PartName="/word/media/image103.jpeg" ContentType="image/jpeg"/>
  <Override PartName="/word/media/image72.jpeg" ContentType="image/jpeg"/>
  <Override PartName="/word/media/image104.jpeg" ContentType="image/jpeg"/>
  <Override PartName="/word/media/image73.jpeg" ContentType="image/jpeg"/>
  <Override PartName="/word/media/image60.png" ContentType="image/png"/>
  <Override PartName="/word/media/image105.jpeg" ContentType="image/jpeg"/>
  <Override PartName="/word/media/image74.jpeg" ContentType="image/jpeg"/>
  <Override PartName="/word/media/image106.jpeg" ContentType="image/jpeg"/>
  <Override PartName="/word/media/image76.jpeg" ContentType="image/jpeg"/>
  <Override PartName="/word/media/image75.jpeg" ContentType="image/jpeg"/>
  <Override PartName="/word/media/image77.png" ContentType="image/png"/>
  <Override PartName="/word/media/image78.jpeg" ContentType="image/jpeg"/>
  <Override PartName="/word/media/image79.jpeg" ContentType="image/jpeg"/>
  <Override PartName="/word/media/image110.jpeg" ContentType="image/jpeg"/>
  <Override PartName="/word/media/image113.jpeg" ContentType="image/jpeg"/>
  <Override PartName="/word/media/image101.jpeg" ContentType="image/jpeg"/>
  <Override PartName="/word/media/image115.jpeg" ContentType="image/jpeg"/>
  <Override PartName="/word/media/image86.jpeg" ContentType="image/jpeg"/>
  <Override PartName="/word/media/image114.jpeg" ContentType="image/jpeg"/>
  <Override PartName="/word/media/image85.jpeg" ContentType="image/jpeg"/>
  <Override PartName="/word/media/image112.jpeg" ContentType="image/jpeg"/>
  <Override PartName="/word/media/image111.jpeg" ContentType="image/jpeg"/>
  <Override PartName="/word/media/image118.png" ContentType="image/png"/>
  <Override PartName="/word/media/image4.jpeg" ContentType="image/jpeg"/>
  <Override PartName="/word/media/image95.jpeg" ContentType="image/jpeg"/>
  <Override PartName="/word/media/image89.jpeg" ContentType="image/jpeg"/>
  <Override PartName="/word/media/image87.jpeg" ContentType="image/jpeg"/>
  <Override PartName="/word/media/image88.jpeg" ContentType="image/jpeg"/>
  <Override PartName="/word/media/image116.jpeg" ContentType="image/jpeg"/>
  <Override PartName="/word/media/image117.png" ContentType="image/png"/>
  <Override PartName="/word/media/image69.png" ContentType="image/png"/>
  <Override PartName="/word/media/image68.jpeg" ContentType="image/jpeg"/>
  <Override PartName="/word/media/image67.jpeg" ContentType="image/jpeg"/>
  <Override PartName="/word/media/image66.jpeg" ContentType="image/jpeg"/>
  <Override PartName="/word/media/image65.jpeg" ContentType="image/jpeg"/>
  <Override PartName="/word/media/image64.jpeg" ContentType="image/jpeg"/>
  <Override PartName="/word/media/image63.jpeg" ContentType="image/jpeg"/>
  <Override PartName="/word/media/image62.jpeg" ContentType="image/jpeg"/>
  <Override PartName="/word/media/image61.jpeg" ContentType="image/jpeg"/>
  <Override PartName="/word/media/image7.jpeg" ContentType="image/jpeg"/>
  <Override PartName="/word/media/image98.jpeg" ContentType="image/jpeg"/>
  <Override PartName="/word/media/image28.jpeg" ContentType="image/jpeg"/>
  <Override PartName="/word/media/image93.jpeg" ContentType="image/jpeg"/>
  <Override PartName="/word/media/image6.jpeg" ContentType="image/jpeg"/>
  <Override PartName="/word/media/image97.jpeg" ContentType="image/jpeg"/>
  <Override PartName="/word/media/image27.jpeg" ContentType="image/jpeg"/>
  <Override PartName="/word/media/image92.jpeg" ContentType="image/jpeg"/>
  <Override PartName="/word/media/image5.jpeg" ContentType="image/jpeg"/>
  <Override PartName="/word/media/image96.jpeg" ContentType="image/jpeg"/>
  <Override PartName="/word/media/image90.jpeg" ContentType="image/jpeg"/>
  <Override PartName="/word/media/image25.jpeg" ContentType="image/jpeg"/>
  <Override PartName="/word/media/image29.jpeg" ContentType="image/jpeg"/>
  <Override PartName="/word/media/image3.jpeg" ContentType="image/jpeg"/>
  <Override PartName="/word/media/image94.jpeg" ContentType="image/jpeg"/>
  <Override PartName="/word/media/image24.jpeg" ContentType="image/jpeg"/>
  <Override PartName="/word/media/image23.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2400" w:after="240"/>
        <w:jc w:val="center"/>
        <w:rPr/>
      </w:pPr>
      <w:r>
        <w:rPr/>
        <w:t>SmartCampus</w:t>
      </w:r>
    </w:p>
    <w:p>
      <w:pPr>
        <w:pStyle w:val="Subtitle"/>
        <w:rPr/>
      </w:pPr>
      <w:r>
        <w:rPr/>
        <w:t>Documentation complète : guide d’utilisation, installation et développement</w:t>
      </w:r>
    </w:p>
    <w:p>
      <w:pPr>
        <w:pStyle w:val="Author"/>
        <w:rPr/>
      </w:pPr>
      <w:r>
        <w:rPr/>
        <w:t>Plateforme SmartCampus</w:t>
      </w:r>
    </w:p>
    <w:p>
      <w:pPr>
        <w:pStyle w:val="Date"/>
        <w:rPr/>
      </w:pPr>
      <w:r>
        <w:rPr/>
        <w:t>Version d’octobre 2026</w:t>
      </w:r>
    </w:p>
    <w:sdt>
      <w:sdtPr>
        <w:docPartObj>
          <w:docPartGallery w:val="Table of Contents"/>
          <w:docPartUnique w:val="true"/>
        </w:docPartObj>
      </w:sdtPr>
      <w:sdtContent>
        <w:p>
          <w:pPr>
            <w:pStyle w:val="TOCHeading"/>
            <w:spacing w:lineRule="auto" w:line="259" w:before="240" w:after="240"/>
            <w:rPr>
              <w:rFonts w:ascii="Calibri" w:hAnsi="Calibri" w:eastAsia="" w:cs="" w:asciiTheme="majorHAnsi" w:cstheme="majorBidi" w:eastAsiaTheme="majorEastAsia" w:hAnsiTheme="majorHAnsi"/>
              <w:b w:val="false"/>
              <w:bCs w:val="false"/>
              <w:color w:themeColor="accent1" w:themeShade="bf" w:val="365F91"/>
            </w:rPr>
          </w:pPr>
          <w:r>
            <w:br w:type="page"/>
          </w:r>
          <w:r>
            <w:rPr>
              <w:rFonts w:eastAsia="" w:cs="" w:cstheme="majorBidi" w:eastAsiaTheme="majorEastAsia"/>
              <w:b w:val="false"/>
              <w:bCs w:val="false"/>
              <w:color w:themeColor="accent1" w:themeShade="bf" w:val="365F91"/>
            </w:rPr>
            <w:t>Sommaire</w:t>
          </w:r>
        </w:p>
        <w:p>
          <w:pPr>
            <w:pStyle w:val="TOC1"/>
            <w:tabs>
              <w:tab w:val="clear" w:pos="9638"/>
              <w:tab w:val="right" w:pos="9637" w:leader="dot"/>
            </w:tabs>
            <w:rPr/>
          </w:pPr>
          <w:r>
            <w:fldChar w:fldCharType="begin"/>
          </w:r>
          <w:r>
            <w:rPr>
              <w:webHidden/>
              <w:rStyle w:val="IndexLink"/>
            </w:rPr>
            <w:instrText xml:space="preserve"> TOC \z \o "1-2" \u \h</w:instrText>
          </w:r>
          <w:r>
            <w:rPr>
              <w:webHidden/>
              <w:rStyle w:val="IndexLink"/>
            </w:rPr>
            <w:fldChar w:fldCharType="separate"/>
          </w:r>
          <w:hyperlink w:anchor="__RefHeading___Toc15134_1458957718">
            <w:r>
              <w:rPr>
                <w:webHidden/>
                <w:rStyle w:val="IndexLink"/>
              </w:rPr>
              <w:t>Présentation de SmartCampus</w:t>
              <w:tab/>
              <w:t>4</w:t>
            </w:r>
          </w:hyperlink>
        </w:p>
        <w:p>
          <w:pPr>
            <w:pStyle w:val="TOC1"/>
            <w:tabs>
              <w:tab w:val="clear" w:pos="9638"/>
              <w:tab w:val="right" w:pos="9637" w:leader="dot"/>
            </w:tabs>
            <w:rPr/>
          </w:pPr>
          <w:hyperlink w:anchor="__RefHeading___Toc15136_1458957718">
            <w:r>
              <w:rPr>
                <w:webHidden/>
                <w:rStyle w:val="IndexLink"/>
              </w:rPr>
              <w:t>Partie 1 — Guide d’utilisation</w:t>
              <w:tab/>
              <w:t>5</w:t>
            </w:r>
          </w:hyperlink>
        </w:p>
        <w:p>
          <w:pPr>
            <w:pStyle w:val="TOC2"/>
            <w:tabs>
              <w:tab w:val="clear" w:pos="9355"/>
              <w:tab w:val="right" w:pos="9637" w:leader="dot"/>
            </w:tabs>
            <w:rPr/>
          </w:pPr>
          <w:hyperlink w:anchor="__RefHeading___Toc15138_1458957718">
            <w:r>
              <w:rPr>
                <w:webHidden/>
                <w:rStyle w:val="IndexLink"/>
              </w:rPr>
              <w:t>Guide d’utilisation</w:t>
              <w:tab/>
              <w:t>5</w:t>
            </w:r>
          </w:hyperlink>
        </w:p>
        <w:p>
          <w:pPr>
            <w:pStyle w:val="TOC2"/>
            <w:tabs>
              <w:tab w:val="clear" w:pos="9355"/>
              <w:tab w:val="right" w:pos="9637" w:leader="dot"/>
            </w:tabs>
            <w:rPr/>
          </w:pPr>
          <w:hyperlink w:anchor="__RefHeading___Toc15140_1458957718">
            <w:r>
              <w:rPr>
                <w:webHidden/>
                <w:rStyle w:val="IndexLink"/>
              </w:rPr>
              <w:t>Premiers pas</w:t>
              <w:tab/>
              <w:t>6</w:t>
            </w:r>
          </w:hyperlink>
        </w:p>
        <w:p>
          <w:pPr>
            <w:pStyle w:val="TOC2"/>
            <w:tabs>
              <w:tab w:val="clear" w:pos="9355"/>
              <w:tab w:val="right" w:pos="9637" w:leader="dot"/>
            </w:tabs>
            <w:rPr/>
          </w:pPr>
          <w:hyperlink w:anchor="__RefHeading___Toc15142_1458957718">
            <w:r>
              <w:rPr>
                <w:webHidden/>
                <w:rStyle w:val="IndexLink"/>
              </w:rPr>
              <w:t>Rôles et droits d’accès</w:t>
              <w:tab/>
              <w:t>11</w:t>
            </w:r>
          </w:hyperlink>
        </w:p>
        <w:p>
          <w:pPr>
            <w:pStyle w:val="TOC2"/>
            <w:tabs>
              <w:tab w:val="clear" w:pos="9355"/>
              <w:tab w:val="right" w:pos="9637" w:leader="dot"/>
            </w:tabs>
            <w:rPr/>
          </w:pPr>
          <w:hyperlink w:anchor="__RefHeading___Toc15144_1458957718">
            <w:r>
              <w:rPr>
                <w:webHidden/>
                <w:rStyle w:val="IndexLink"/>
              </w:rPr>
              <w:t>Démarrer une nouvelle année académique</w:t>
              <w:tab/>
              <w:t>13</w:t>
            </w:r>
          </w:hyperlink>
        </w:p>
        <w:p>
          <w:pPr>
            <w:pStyle w:val="TOC2"/>
            <w:tabs>
              <w:tab w:val="clear" w:pos="9355"/>
              <w:tab w:val="right" w:pos="9637" w:leader="dot"/>
            </w:tabs>
            <w:rPr/>
          </w:pPr>
          <w:hyperlink w:anchor="__RefHeading___Toc15146_1458957718">
            <w:r>
              <w:rPr>
                <w:webHidden/>
                <w:rStyle w:val="IndexLink"/>
              </w:rPr>
              <w:t>Préinscription en ligne (candidats)</w:t>
              <w:tab/>
              <w:t>14</w:t>
            </w:r>
          </w:hyperlink>
        </w:p>
        <w:p>
          <w:pPr>
            <w:pStyle w:val="TOC2"/>
            <w:tabs>
              <w:tab w:val="clear" w:pos="9355"/>
              <w:tab w:val="right" w:pos="9637" w:leader="dot"/>
            </w:tabs>
            <w:rPr/>
          </w:pPr>
          <w:hyperlink w:anchor="__RefHeading___Toc15148_1458957718">
            <w:r>
              <w:rPr>
                <w:webHidden/>
                <w:rStyle w:val="IndexLink"/>
              </w:rPr>
              <w:t>Administration</w:t>
              <w:tab/>
              <w:t>17</w:t>
            </w:r>
          </w:hyperlink>
        </w:p>
        <w:p>
          <w:pPr>
            <w:pStyle w:val="TOC2"/>
            <w:tabs>
              <w:tab w:val="clear" w:pos="9355"/>
              <w:tab w:val="right" w:pos="9637" w:leader="dot"/>
            </w:tabs>
            <w:rPr/>
          </w:pPr>
          <w:hyperlink w:anchor="__RefHeading___Toc15150_1458957718">
            <w:r>
              <w:rPr>
                <w:webHidden/>
                <w:rStyle w:val="IndexLink"/>
              </w:rPr>
              <w:t>Administration — Tableau de bord</w:t>
              <w:tab/>
              <w:t>18</w:t>
            </w:r>
          </w:hyperlink>
        </w:p>
        <w:p>
          <w:pPr>
            <w:pStyle w:val="TOC2"/>
            <w:tabs>
              <w:tab w:val="clear" w:pos="9355"/>
              <w:tab w:val="right" w:pos="9637" w:leader="dot"/>
            </w:tabs>
            <w:rPr/>
          </w:pPr>
          <w:hyperlink w:anchor="__RefHeading___Toc15152_1458957718">
            <w:r>
              <w:rPr>
                <w:webHidden/>
                <w:rStyle w:val="IndexLink"/>
              </w:rPr>
              <w:t>Administration — Structure académique</w:t>
              <w:tab/>
              <w:t>19</w:t>
            </w:r>
          </w:hyperlink>
        </w:p>
        <w:p>
          <w:pPr>
            <w:pStyle w:val="TOC2"/>
            <w:tabs>
              <w:tab w:val="clear" w:pos="9355"/>
              <w:tab w:val="right" w:pos="9637" w:leader="dot"/>
            </w:tabs>
            <w:rPr/>
          </w:pPr>
          <w:hyperlink w:anchor="__RefHeading___Toc15154_1458957718">
            <w:r>
              <w:rPr>
                <w:webHidden/>
                <w:rStyle w:val="IndexLink"/>
              </w:rPr>
              <w:t>Administration — Cours et modules</w:t>
              <w:tab/>
              <w:t>24</w:t>
            </w:r>
          </w:hyperlink>
        </w:p>
        <w:p>
          <w:pPr>
            <w:pStyle w:val="TOC2"/>
            <w:tabs>
              <w:tab w:val="clear" w:pos="9355"/>
              <w:tab w:val="right" w:pos="9637" w:leader="dot"/>
            </w:tabs>
            <w:rPr/>
          </w:pPr>
          <w:hyperlink w:anchor="__RefHeading___Toc15156_1458957718">
            <w:r>
              <w:rPr>
                <w:webHidden/>
                <w:rStyle w:val="IndexLink"/>
              </w:rPr>
              <w:t>Administration — Étudiants</w:t>
              <w:tab/>
              <w:t>26</w:t>
            </w:r>
          </w:hyperlink>
        </w:p>
        <w:p>
          <w:pPr>
            <w:pStyle w:val="TOC2"/>
            <w:tabs>
              <w:tab w:val="clear" w:pos="9355"/>
              <w:tab w:val="right" w:pos="9637" w:leader="dot"/>
            </w:tabs>
            <w:rPr/>
          </w:pPr>
          <w:hyperlink w:anchor="__RefHeading___Toc15158_1458957718">
            <w:r>
              <w:rPr>
                <w:webHidden/>
                <w:rStyle w:val="IndexLink"/>
              </w:rPr>
              <w:t>Administration — Enseignants (formateurs)</w:t>
              <w:tab/>
              <w:t>30</w:t>
            </w:r>
          </w:hyperlink>
        </w:p>
        <w:p>
          <w:pPr>
            <w:pStyle w:val="TOC2"/>
            <w:tabs>
              <w:tab w:val="clear" w:pos="9355"/>
              <w:tab w:val="right" w:pos="9637" w:leader="dot"/>
            </w:tabs>
            <w:rPr/>
          </w:pPr>
          <w:hyperlink w:anchor="__RefHeading___Toc15160_1458957718">
            <w:r>
              <w:rPr>
                <w:webHidden/>
                <w:rStyle w:val="IndexLink"/>
              </w:rPr>
              <w:t>Administration — Emploi du temps</w:t>
              <w:tab/>
              <w:t>33</w:t>
            </w:r>
          </w:hyperlink>
        </w:p>
        <w:p>
          <w:pPr>
            <w:pStyle w:val="TOC2"/>
            <w:tabs>
              <w:tab w:val="clear" w:pos="9355"/>
              <w:tab w:val="right" w:pos="9637" w:leader="dot"/>
            </w:tabs>
            <w:rPr/>
          </w:pPr>
          <w:hyperlink w:anchor="__RefHeading___Toc15162_1458957718">
            <w:r>
              <w:rPr>
                <w:webHidden/>
                <w:rStyle w:val="IndexLink"/>
              </w:rPr>
              <w:t>Administration — Notes et relevés</w:t>
              <w:tab/>
              <w:t>36</w:t>
            </w:r>
          </w:hyperlink>
        </w:p>
        <w:p>
          <w:pPr>
            <w:pStyle w:val="TOC2"/>
            <w:tabs>
              <w:tab w:val="clear" w:pos="9355"/>
              <w:tab w:val="right" w:pos="9637" w:leader="dot"/>
            </w:tabs>
            <w:rPr/>
          </w:pPr>
          <w:hyperlink w:anchor="__RefHeading___Toc15164_1458957718">
            <w:r>
              <w:rPr>
                <w:webHidden/>
                <w:rStyle w:val="IndexLink"/>
              </w:rPr>
              <w:t>Administration — Banque d’épreuves</w:t>
              <w:tab/>
              <w:t>39</w:t>
            </w:r>
          </w:hyperlink>
        </w:p>
        <w:p>
          <w:pPr>
            <w:pStyle w:val="TOC2"/>
            <w:tabs>
              <w:tab w:val="clear" w:pos="9355"/>
              <w:tab w:val="right" w:pos="9637" w:leader="dot"/>
            </w:tabs>
            <w:rPr/>
          </w:pPr>
          <w:hyperlink w:anchor="__RefHeading___Toc15166_1458957718">
            <w:r>
              <w:rPr>
                <w:webHidden/>
                <w:rStyle w:val="IndexLink"/>
              </w:rPr>
              <w:t>Administration — Assiduité (absences et retards des étudiants)</w:t>
              <w:tab/>
              <w:t>41</w:t>
            </w:r>
          </w:hyperlink>
        </w:p>
        <w:p>
          <w:pPr>
            <w:pStyle w:val="TOC2"/>
            <w:tabs>
              <w:tab w:val="clear" w:pos="9355"/>
              <w:tab w:val="right" w:pos="9637" w:leader="dot"/>
            </w:tabs>
            <w:rPr/>
          </w:pPr>
          <w:hyperlink w:anchor="__RefHeading___Toc15168_1458957718">
            <w:r>
              <w:rPr>
                <w:webHidden/>
                <w:rStyle w:val="IndexLink"/>
              </w:rPr>
              <w:t>Administration — Coordonnateurs de filière</w:t>
              <w:tab/>
              <w:t>42</w:t>
            </w:r>
          </w:hyperlink>
        </w:p>
        <w:p>
          <w:pPr>
            <w:pStyle w:val="TOC2"/>
            <w:tabs>
              <w:tab w:val="clear" w:pos="9355"/>
              <w:tab w:val="right" w:pos="9637" w:leader="dot"/>
            </w:tabs>
            <w:rPr/>
          </w:pPr>
          <w:hyperlink w:anchor="__RefHeading___Toc15170_1458957718">
            <w:r>
              <w:rPr>
                <w:webHidden/>
                <w:rStyle w:val="IndexLink"/>
              </w:rPr>
              <w:t>Administration — Préinscriptions (traitement par l’administration)</w:t>
              <w:tab/>
              <w:t>44</w:t>
            </w:r>
          </w:hyperlink>
        </w:p>
        <w:p>
          <w:pPr>
            <w:pStyle w:val="TOC2"/>
            <w:tabs>
              <w:tab w:val="clear" w:pos="9355"/>
              <w:tab w:val="right" w:pos="9637" w:leader="dot"/>
            </w:tabs>
            <w:rPr/>
          </w:pPr>
          <w:hyperlink w:anchor="__RefHeading___Toc15172_1458957718">
            <w:r>
              <w:rPr>
                <w:webHidden/>
                <w:rStyle w:val="IndexLink"/>
              </w:rPr>
              <w:t>Administration — Scolarité et paiements</w:t>
              <w:tab/>
              <w:t>46</w:t>
            </w:r>
          </w:hyperlink>
        </w:p>
        <w:p>
          <w:pPr>
            <w:pStyle w:val="TOC2"/>
            <w:tabs>
              <w:tab w:val="clear" w:pos="9355"/>
              <w:tab w:val="right" w:pos="9637" w:leader="dot"/>
            </w:tabs>
            <w:rPr/>
          </w:pPr>
          <w:hyperlink w:anchor="__RefHeading___Toc15174_1458957718">
            <w:r>
              <w:rPr>
                <w:webHidden/>
                <w:rStyle w:val="IndexLink"/>
              </w:rPr>
              <w:t>Administration — Aperçu financier (revenus et dépenses)</w:t>
              <w:tab/>
              <w:t>53</w:t>
            </w:r>
          </w:hyperlink>
        </w:p>
        <w:p>
          <w:pPr>
            <w:pStyle w:val="TOC2"/>
            <w:tabs>
              <w:tab w:val="clear" w:pos="9355"/>
              <w:tab w:val="right" w:pos="9637" w:leader="dot"/>
            </w:tabs>
            <w:rPr/>
          </w:pPr>
          <w:hyperlink w:anchor="__RefHeading___Toc15176_1458957718">
            <w:r>
              <w:rPr>
                <w:webHidden/>
                <w:rStyle w:val="IndexLink"/>
              </w:rPr>
              <w:t>Administration — Salaires (personnel et formateurs)</w:t>
              <w:tab/>
              <w:t>55</w:t>
            </w:r>
          </w:hyperlink>
        </w:p>
        <w:p>
          <w:pPr>
            <w:pStyle w:val="TOC2"/>
            <w:tabs>
              <w:tab w:val="clear" w:pos="9355"/>
              <w:tab w:val="right" w:pos="9637" w:leader="dot"/>
            </w:tabs>
            <w:rPr/>
          </w:pPr>
          <w:hyperlink w:anchor="__RefHeading___Toc15178_1458957718">
            <w:r>
              <w:rPr>
                <w:webHidden/>
                <w:rStyle w:val="IndexLink"/>
              </w:rPr>
              <w:t>Administration — Heures des enseignants vacataires</w:t>
              <w:tab/>
              <w:t>62</w:t>
            </w:r>
          </w:hyperlink>
        </w:p>
        <w:p>
          <w:pPr>
            <w:pStyle w:val="TOC2"/>
            <w:tabs>
              <w:tab w:val="clear" w:pos="9355"/>
              <w:tab w:val="right" w:pos="9637" w:leader="dot"/>
            </w:tabs>
            <w:rPr/>
          </w:pPr>
          <w:hyperlink w:anchor="__RefHeading___Toc15180_1458957718">
            <w:r>
              <w:rPr>
                <w:webHidden/>
                <w:rStyle w:val="IndexLink"/>
              </w:rPr>
              <w:t>Administration — Inventaire et demandes de matériel</w:t>
              <w:tab/>
              <w:t>66</w:t>
            </w:r>
          </w:hyperlink>
        </w:p>
        <w:p>
          <w:pPr>
            <w:pStyle w:val="TOC2"/>
            <w:tabs>
              <w:tab w:val="clear" w:pos="9355"/>
              <w:tab w:val="right" w:pos="9637" w:leader="dot"/>
            </w:tabs>
            <w:rPr/>
          </w:pPr>
          <w:hyperlink w:anchor="__RefHeading___Toc15182_1458957718">
            <w:r>
              <w:rPr>
                <w:webHidden/>
                <w:rStyle w:val="IndexLink"/>
              </w:rPr>
              <w:t>Administration — Personnel et congés</w:t>
              <w:tab/>
              <w:t>70</w:t>
            </w:r>
          </w:hyperlink>
        </w:p>
        <w:p>
          <w:pPr>
            <w:pStyle w:val="TOC2"/>
            <w:tabs>
              <w:tab w:val="clear" w:pos="9355"/>
              <w:tab w:val="right" w:pos="9637" w:leader="dot"/>
            </w:tabs>
            <w:rPr/>
          </w:pPr>
          <w:hyperlink w:anchor="__RefHeading___Toc15184_1458957718">
            <w:r>
              <w:rPr>
                <w:webHidden/>
                <w:rStyle w:val="IndexLink"/>
              </w:rPr>
              <w:t>Administration — Système (paramètres, utilisateurs, rôles, apparence)</w:t>
              <w:tab/>
              <w:t>74</w:t>
            </w:r>
          </w:hyperlink>
        </w:p>
        <w:p>
          <w:pPr>
            <w:pStyle w:val="TOC2"/>
            <w:tabs>
              <w:tab w:val="clear" w:pos="9355"/>
              <w:tab w:val="right" w:pos="9637" w:leader="dot"/>
            </w:tabs>
            <w:rPr/>
          </w:pPr>
          <w:hyperlink w:anchor="__RefHeading___Toc15186_1458957718">
            <w:r>
              <w:rPr>
                <w:webHidden/>
                <w:rStyle w:val="IndexLink"/>
              </w:rPr>
              <w:t>Portail formateur</w:t>
              <w:tab/>
              <w:t>78</w:t>
            </w:r>
          </w:hyperlink>
        </w:p>
        <w:p>
          <w:pPr>
            <w:pStyle w:val="TOC2"/>
            <w:tabs>
              <w:tab w:val="clear" w:pos="9355"/>
              <w:tab w:val="right" w:pos="9637" w:leader="dot"/>
            </w:tabs>
            <w:rPr/>
          </w:pPr>
          <w:hyperlink w:anchor="__RefHeading___Toc15188_1458957718">
            <w:r>
              <w:rPr>
                <w:webHidden/>
                <w:rStyle w:val="IndexLink"/>
              </w:rPr>
              <w:t>Coordonnateur de filière</w:t>
              <w:tab/>
              <w:t>85</w:t>
            </w:r>
          </w:hyperlink>
        </w:p>
        <w:p>
          <w:pPr>
            <w:pStyle w:val="TOC2"/>
            <w:tabs>
              <w:tab w:val="clear" w:pos="9355"/>
              <w:tab w:val="right" w:pos="9637" w:leader="dot"/>
            </w:tabs>
            <w:rPr/>
          </w:pPr>
          <w:hyperlink w:anchor="__RefHeading___Toc15190_1458957718">
            <w:r>
              <w:rPr>
                <w:webHidden/>
                <w:rStyle w:val="IndexLink"/>
              </w:rPr>
              <w:t>Portail étudiant</w:t>
              <w:tab/>
              <w:t>90</w:t>
            </w:r>
          </w:hyperlink>
        </w:p>
        <w:p>
          <w:pPr>
            <w:pStyle w:val="TOC2"/>
            <w:tabs>
              <w:tab w:val="clear" w:pos="9355"/>
              <w:tab w:val="right" w:pos="9637" w:leader="dot"/>
            </w:tabs>
            <w:rPr/>
          </w:pPr>
          <w:hyperlink w:anchor="__RefHeading___Toc15192_1458957718">
            <w:r>
              <w:rPr>
                <w:webHidden/>
                <w:rStyle w:val="IndexLink"/>
              </w:rPr>
              <w:t>Questions fréquentes</w:t>
              <w:tab/>
              <w:t>96</w:t>
            </w:r>
          </w:hyperlink>
        </w:p>
        <w:p>
          <w:pPr>
            <w:pStyle w:val="TOC2"/>
            <w:tabs>
              <w:tab w:val="clear" w:pos="9355"/>
              <w:tab w:val="right" w:pos="9637" w:leader="dot"/>
            </w:tabs>
            <w:rPr/>
          </w:pPr>
          <w:hyperlink w:anchor="__RefHeading___Toc15194_1458957718">
            <w:r>
              <w:rPr>
                <w:webHidden/>
                <w:rStyle w:val="IndexLink"/>
              </w:rPr>
              <w:t>Glossaire</w:t>
              <w:tab/>
              <w:t>98</w:t>
            </w:r>
          </w:hyperlink>
        </w:p>
        <w:p>
          <w:pPr>
            <w:pStyle w:val="TOC1"/>
            <w:tabs>
              <w:tab w:val="clear" w:pos="9638"/>
              <w:tab w:val="right" w:pos="9637" w:leader="dot"/>
            </w:tabs>
            <w:rPr/>
          </w:pPr>
          <w:hyperlink w:anchor="__RefHeading___Toc15196_1458957718">
            <w:r>
              <w:rPr>
                <w:webHidden/>
                <w:rStyle w:val="IndexLink"/>
              </w:rPr>
              <w:t>Partie 2 — Installation et configuration</w:t>
              <w:tab/>
              <w:t>100</w:t>
            </w:r>
          </w:hyperlink>
        </w:p>
        <w:p>
          <w:pPr>
            <w:pStyle w:val="TOC2"/>
            <w:tabs>
              <w:tab w:val="clear" w:pos="9355"/>
              <w:tab w:val="right" w:pos="9637" w:leader="dot"/>
            </w:tabs>
            <w:rPr/>
          </w:pPr>
          <w:hyperlink w:anchor="__RefHeading___Toc15198_1458957718">
            <w:r>
              <w:rPr>
                <w:webHidden/>
                <w:rStyle w:val="IndexLink"/>
              </w:rPr>
              <w:t>Installation et configuration</w:t>
              <w:tab/>
              <w:t>100</w:t>
            </w:r>
          </w:hyperlink>
        </w:p>
        <w:p>
          <w:pPr>
            <w:pStyle w:val="TOC2"/>
            <w:tabs>
              <w:tab w:val="clear" w:pos="9355"/>
              <w:tab w:val="right" w:pos="9637" w:leader="dot"/>
            </w:tabs>
            <w:rPr/>
          </w:pPr>
          <w:hyperlink w:anchor="__RefHeading___Toc15200_1458957718">
            <w:r>
              <w:rPr>
                <w:webHidden/>
                <w:rStyle w:val="IndexLink"/>
              </w:rPr>
              <w:t>Prérequis</w:t>
              <w:tab/>
              <w:t>100</w:t>
            </w:r>
          </w:hyperlink>
        </w:p>
        <w:p>
          <w:pPr>
            <w:pStyle w:val="TOC2"/>
            <w:tabs>
              <w:tab w:val="clear" w:pos="9355"/>
              <w:tab w:val="right" w:pos="9637" w:leader="dot"/>
            </w:tabs>
            <w:rPr/>
          </w:pPr>
          <w:hyperlink w:anchor="__RefHeading___Toc15202_1458957718">
            <w:r>
              <w:rPr>
                <w:webHidden/>
                <w:rStyle w:val="IndexLink"/>
              </w:rPr>
              <w:t>Installation sur un poste (test)</w:t>
              <w:tab/>
              <w:t>101</w:t>
            </w:r>
          </w:hyperlink>
        </w:p>
        <w:p>
          <w:pPr>
            <w:pStyle w:val="TOC2"/>
            <w:tabs>
              <w:tab w:val="clear" w:pos="9355"/>
              <w:tab w:val="right" w:pos="9637" w:leader="dot"/>
            </w:tabs>
            <w:rPr/>
          </w:pPr>
          <w:hyperlink w:anchor="__RefHeading___Toc15204_1458957718">
            <w:r>
              <w:rPr>
                <w:webHidden/>
                <w:rStyle w:val="IndexLink"/>
              </w:rPr>
              <w:t>Mise en ligne sur un serveur</w:t>
              <w:tab/>
              <w:t>102</w:t>
            </w:r>
          </w:hyperlink>
        </w:p>
        <w:p>
          <w:pPr>
            <w:pStyle w:val="TOC2"/>
            <w:tabs>
              <w:tab w:val="clear" w:pos="9355"/>
              <w:tab w:val="right" w:pos="9637" w:leader="dot"/>
            </w:tabs>
            <w:rPr/>
          </w:pPr>
          <w:hyperlink w:anchor="__RefHeading___Toc15206_1458957718">
            <w:r>
              <w:rPr>
                <w:webHidden/>
                <w:rStyle w:val="IndexLink"/>
              </w:rPr>
              <w:t>Fichier de configuration (.env)</w:t>
              <w:tab/>
              <w:t>105</w:t>
            </w:r>
          </w:hyperlink>
        </w:p>
        <w:p>
          <w:pPr>
            <w:pStyle w:val="TOC2"/>
            <w:tabs>
              <w:tab w:val="clear" w:pos="9355"/>
              <w:tab w:val="right" w:pos="9637" w:leader="dot"/>
            </w:tabs>
            <w:rPr/>
          </w:pPr>
          <w:hyperlink w:anchor="__RefHeading___Toc15208_1458957718">
            <w:r>
              <w:rPr>
                <w:webHidden/>
                <w:rStyle w:val="IndexLink"/>
              </w:rPr>
              <w:t>Sauvegardes et restauration</w:t>
              <w:tab/>
              <w:t>107</w:t>
            </w:r>
          </w:hyperlink>
        </w:p>
        <w:p>
          <w:pPr>
            <w:pStyle w:val="TOC2"/>
            <w:tabs>
              <w:tab w:val="clear" w:pos="9355"/>
              <w:tab w:val="right" w:pos="9637" w:leader="dot"/>
            </w:tabs>
            <w:rPr/>
          </w:pPr>
          <w:hyperlink w:anchor="__RefHeading___Toc15210_1458957718">
            <w:r>
              <w:rPr>
                <w:webHidden/>
                <w:rStyle w:val="IndexLink"/>
              </w:rPr>
              <w:t>Mettre à jour la plateforme</w:t>
              <w:tab/>
              <w:t>108</w:t>
            </w:r>
          </w:hyperlink>
        </w:p>
        <w:p>
          <w:pPr>
            <w:pStyle w:val="TOC2"/>
            <w:tabs>
              <w:tab w:val="clear" w:pos="9355"/>
              <w:tab w:val="right" w:pos="9637" w:leader="dot"/>
            </w:tabs>
            <w:rPr/>
          </w:pPr>
          <w:hyperlink w:anchor="__RefHeading___Toc15212_1458957718">
            <w:r>
              <w:rPr>
                <w:webHidden/>
                <w:rStyle w:val="IndexLink"/>
              </w:rPr>
              <w:t>Dépannage</w:t>
              <w:tab/>
              <w:t>109</w:t>
            </w:r>
          </w:hyperlink>
        </w:p>
        <w:p>
          <w:pPr>
            <w:pStyle w:val="TOC1"/>
            <w:tabs>
              <w:tab w:val="clear" w:pos="9638"/>
              <w:tab w:val="right" w:pos="9637" w:leader="dot"/>
            </w:tabs>
            <w:rPr/>
          </w:pPr>
          <w:hyperlink w:anchor="__RefHeading___Toc15214_1458957718">
            <w:r>
              <w:rPr>
                <w:webHidden/>
                <w:rStyle w:val="IndexLink"/>
              </w:rPr>
              <w:t>Partie 3 — Documentation développeurs</w:t>
              <w:tab/>
              <w:t>112</w:t>
            </w:r>
          </w:hyperlink>
        </w:p>
        <w:p>
          <w:pPr>
            <w:pStyle w:val="TOC2"/>
            <w:tabs>
              <w:tab w:val="clear" w:pos="9355"/>
              <w:tab w:val="right" w:pos="9637" w:leader="dot"/>
            </w:tabs>
            <w:rPr/>
          </w:pPr>
          <w:hyperlink w:anchor="__RefHeading___Toc15216_1458957718">
            <w:r>
              <w:rPr>
                <w:webHidden/>
                <w:rStyle w:val="IndexLink"/>
              </w:rPr>
              <w:t>Documentation développeurs</w:t>
              <w:tab/>
              <w:t>112</w:t>
            </w:r>
          </w:hyperlink>
        </w:p>
        <w:p>
          <w:pPr>
            <w:pStyle w:val="TOC2"/>
            <w:tabs>
              <w:tab w:val="clear" w:pos="9355"/>
              <w:tab w:val="right" w:pos="9637" w:leader="dot"/>
            </w:tabs>
            <w:rPr/>
          </w:pPr>
          <w:hyperlink w:anchor="__RefHeading___Toc15218_1458957718">
            <w:r>
              <w:rPr>
                <w:webHidden/>
                <w:rStyle w:val="IndexLink"/>
              </w:rPr>
              <w:t>Architecture</w:t>
              <w:tab/>
              <w:t>112</w:t>
            </w:r>
          </w:hyperlink>
        </w:p>
        <w:p>
          <w:pPr>
            <w:pStyle w:val="TOC2"/>
            <w:tabs>
              <w:tab w:val="clear" w:pos="9355"/>
              <w:tab w:val="right" w:pos="9637" w:leader="dot"/>
            </w:tabs>
            <w:rPr/>
          </w:pPr>
          <w:hyperlink w:anchor="__RefHeading___Toc15220_1458957718">
            <w:r>
              <w:rPr>
                <w:webHidden/>
                <w:rStyle w:val="IndexLink"/>
              </w:rPr>
              <w:t>Carte des applications</w:t>
              <w:tab/>
              <w:t>114</w:t>
            </w:r>
          </w:hyperlink>
        </w:p>
        <w:p>
          <w:pPr>
            <w:pStyle w:val="TOC2"/>
            <w:tabs>
              <w:tab w:val="clear" w:pos="9355"/>
              <w:tab w:val="right" w:pos="9637" w:leader="dot"/>
            </w:tabs>
            <w:rPr/>
          </w:pPr>
          <w:hyperlink w:anchor="__RefHeading___Toc15222_1458957718">
            <w:r>
              <w:rPr>
                <w:webHidden/>
                <w:rStyle w:val="IndexLink"/>
              </w:rPr>
              <w:t>Permissions et cloisonnement</w:t>
              <w:tab/>
              <w:t>116</w:t>
            </w:r>
          </w:hyperlink>
        </w:p>
        <w:p>
          <w:pPr>
            <w:pStyle w:val="TOC2"/>
            <w:tabs>
              <w:tab w:val="clear" w:pos="9355"/>
              <w:tab w:val="right" w:pos="9637" w:leader="dot"/>
            </w:tabs>
            <w:rPr/>
          </w:pPr>
          <w:hyperlink w:anchor="__RefHeading___Toc15224_1458957718">
            <w:r>
              <w:rPr>
                <w:webHidden/>
                <w:rStyle w:val="IndexLink"/>
              </w:rPr>
              <w:t>Tests automatisés</w:t>
              <w:tab/>
              <w:t>118</w:t>
            </w:r>
          </w:hyperlink>
        </w:p>
        <w:p>
          <w:pPr>
            <w:pStyle w:val="TOC2"/>
            <w:tabs>
              <w:tab w:val="clear" w:pos="9355"/>
              <w:tab w:val="right" w:pos="9637" w:leader="dot"/>
            </w:tabs>
            <w:rPr/>
          </w:pPr>
          <w:hyperlink w:anchor="__RefHeading___Toc15226_1458957718">
            <w:r>
              <w:rPr>
                <w:webHidden/>
                <w:rStyle w:val="IndexLink"/>
              </w:rPr>
              <w:t>Ajouter une fonctionnalité</w:t>
              <w:tab/>
              <w:t>120</w:t>
            </w:r>
          </w:hyperlink>
        </w:p>
        <w:p>
          <w:pPr>
            <w:pStyle w:val="TOC2"/>
            <w:tabs>
              <w:tab w:val="clear" w:pos="9355"/>
              <w:tab w:val="right" w:pos="9637" w:leader="dot"/>
            </w:tabs>
            <w:rPr/>
          </w:pPr>
          <w:hyperlink w:anchor="__RefHeading___Toc15228_1458957718">
            <w:r>
              <w:rPr>
                <w:webHidden/>
                <w:rStyle w:val="IndexLink"/>
              </w:rPr>
              <w:t>Conventions de code</w:t>
              <w:tab/>
              <w:t>121</w:t>
            </w:r>
          </w:hyperlink>
        </w:p>
        <w:p>
          <w:pPr>
            <w:pStyle w:val="TOC2"/>
            <w:tabs>
              <w:tab w:val="clear" w:pos="9355"/>
              <w:tab w:val="right" w:pos="9637" w:leader="dot"/>
            </w:tabs>
            <w:rPr/>
          </w:pPr>
          <w:hyperlink w:anchor="__RefHeading___Toc15230_1458957718">
            <w:r>
              <w:rPr>
                <w:webHidden/>
                <w:rStyle w:val="IndexLink"/>
              </w:rPr>
              <w:t>Référence API</w:t>
              <w:tab/>
              <w:t>122</w:t>
            </w:r>
          </w:hyperlink>
        </w:p>
        <w:p>
          <w:pPr>
            <w:pStyle w:val="TOC2"/>
            <w:tabs>
              <w:tab w:val="clear" w:pos="9355"/>
              <w:tab w:val="right" w:pos="9637" w:leader="dot"/>
            </w:tabs>
            <w:rPr/>
          </w:pPr>
          <w:hyperlink w:anchor="__RefHeading___Toc15232_1458957718">
            <w:r>
              <w:rPr>
                <w:webHidden/>
                <w:rStyle w:val="IndexLink"/>
              </w:rPr>
              <w:t>Contribuer à SmartCampus</w:t>
              <w:tab/>
              <w:t>124</w:t>
            </w:r>
          </w:hyperlink>
          <w:r>
            <w:rPr>
              <w:rStyle w:val="IndexLink"/>
            </w:rPr>
            <w:fldChar w:fldCharType="end"/>
          </w:r>
        </w:p>
      </w:sdtContent>
    </w:sdt>
    <w:p>
      <w:pPr>
        <w:pStyle w:val="Heading1"/>
        <w:rPr/>
      </w:pPr>
      <w:bookmarkStart w:id="0" w:name="__RefHeading___Toc15134_1458957718"/>
      <w:bookmarkStart w:id="1" w:name="présentation-de-smartcampus"/>
      <w:bookmarkEnd w:id="0"/>
      <w:bookmarkEnd w:id="1"/>
      <w:r>
        <w:rPr/>
        <w:t>Présentation de SmartCampus</w:t>
      </w:r>
    </w:p>
    <w:p>
      <w:pPr>
        <w:pStyle w:val="FirstParagraph"/>
        <w:rPr/>
      </w:pPr>
      <w:r>
        <w:rPr>
          <w:b/>
          <w:bCs/>
        </w:rPr>
        <w:t>SmartCampus</w:t>
      </w:r>
      <w:r>
        <w:rPr/>
        <w:t xml:space="preserve"> est la plateforme de gestion de l’établissement : préinscriptions en ligne, dossiers étudiants, structure académique, emplois du temps, notes et relevés, scolarité et paiements, paie du personnel et des formateurs, heures des vacataires, inventaire, congés…</w:t>
      </w:r>
    </w:p>
    <w:p>
      <w:pPr>
        <w:pStyle w:val="BodyText"/>
        <w:rPr/>
      </w:pPr>
      <w:r>
        <w:rPr/>
        <w:t xml:space="preserve">Elle s’utilise dans un </w:t>
      </w:r>
      <w:r>
        <w:rPr>
          <w:b/>
          <w:bCs/>
        </w:rPr>
        <w:t>navigateur internet</w:t>
      </w:r>
      <w:r>
        <w:rPr/>
        <w:t xml:space="preserve"> (Chrome, Edge, Firefox, Safari), sur ordinateur, tablette ou téléphone. Il n’y a rien à installer pour les utilisateurs.</w:t>
      </w:r>
    </w:p>
    <w:p>
      <w:pPr>
        <w:pStyle w:val="Heading3"/>
        <w:rPr/>
      </w:pPr>
      <w:r>
        <w:rPr/>
        <w:t>Qui fait quoi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765"/>
        <w:gridCol w:w="3118"/>
        <w:gridCol w:w="2755"/>
      </w:tblGrid>
      <w:tr>
        <w:trPr>
          <w:tblHeader w:val="true"/>
          <w:cantSplit w:val="true"/>
        </w:trPr>
        <w:tc>
          <w:tcPr>
            <w:tcW w:w="376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Vous êtes…</w:t>
            </w:r>
          </w:p>
        </w:tc>
        <w:tc>
          <w:tcPr>
            <w:tcW w:w="311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Vous utilisez…</w:t>
            </w:r>
          </w:p>
        </w:tc>
        <w:tc>
          <w:tcPr>
            <w:tcW w:w="275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Commencez par</w:t>
            </w:r>
          </w:p>
        </w:tc>
      </w:tr>
      <w:tr>
        <w:trPr>
          <w:cantSplit w:val="true"/>
        </w:trPr>
        <w:tc>
          <w:tcPr>
            <w:tcW w:w="37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Un candidat</w:t>
            </w:r>
            <w:r>
              <w:rPr>
                <w:rFonts w:eastAsia="Calibri" w:cs="Calibri"/>
                <w:kern w:val="0"/>
                <w:sz w:val="19"/>
                <w:szCs w:val="19"/>
                <w:lang w:val="fr-FR" w:eastAsia="en-US" w:bidi="ar-SA"/>
              </w:rPr>
              <w:t xml:space="preserve"> qui souhaite s’inscrire</w:t>
            </w:r>
          </w:p>
        </w:tc>
        <w:tc>
          <w:tcPr>
            <w:tcW w:w="31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formulaire public de préinscription</w:t>
            </w:r>
          </w:p>
        </w:tc>
        <w:tc>
          <w:tcPr>
            <w:tcW w:w="275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Préinscription en ligne</w:t>
            </w:r>
          </w:p>
        </w:tc>
      </w:tr>
      <w:tr>
        <w:trPr>
          <w:cantSplit w:val="true"/>
        </w:trPr>
        <w:tc>
          <w:tcPr>
            <w:tcW w:w="37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Membre de l’administration</w:t>
            </w:r>
            <w:r>
              <w:rPr>
                <w:rFonts w:eastAsia="Calibri" w:cs="Calibri"/>
                <w:kern w:val="0"/>
                <w:sz w:val="19"/>
                <w:szCs w:val="19"/>
                <w:lang w:val="fr-FR" w:eastAsia="en-US" w:bidi="ar-SA"/>
              </w:rPr>
              <w:t xml:space="preserve"> (direction, secrétariat, scolarité, comptabilité, RH, logistique)</w:t>
            </w:r>
          </w:p>
        </w:tc>
        <w:tc>
          <w:tcPr>
            <w:tcW w:w="31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L’espace d’administration</w:t>
            </w:r>
          </w:p>
        </w:tc>
        <w:tc>
          <w:tcPr>
            <w:tcW w:w="275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Premiers pas puis Administration</w:t>
            </w:r>
          </w:p>
        </w:tc>
      </w:tr>
      <w:tr>
        <w:trPr>
          <w:cantSplit w:val="true"/>
        </w:trPr>
        <w:tc>
          <w:tcPr>
            <w:tcW w:w="37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Formateur / enseignant</w:t>
            </w:r>
          </w:p>
        </w:tc>
        <w:tc>
          <w:tcPr>
            <w:tcW w:w="31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portail formateur</w:t>
            </w:r>
          </w:p>
        </w:tc>
        <w:tc>
          <w:tcPr>
            <w:tcW w:w="275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Portail formateur</w:t>
            </w:r>
          </w:p>
        </w:tc>
      </w:tr>
      <w:tr>
        <w:trPr>
          <w:cantSplit w:val="true"/>
        </w:trPr>
        <w:tc>
          <w:tcPr>
            <w:tcW w:w="37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Coordonnateur de filière</w:t>
            </w:r>
            <w:r>
              <w:rPr>
                <w:rFonts w:eastAsia="Calibri" w:cs="Calibri"/>
                <w:kern w:val="0"/>
                <w:sz w:val="19"/>
                <w:szCs w:val="19"/>
                <w:lang w:val="fr-FR" w:eastAsia="en-US" w:bidi="ar-SA"/>
              </w:rPr>
              <w:t xml:space="preserve"> (un formateur désigné)</w:t>
            </w:r>
          </w:p>
        </w:tc>
        <w:tc>
          <w:tcPr>
            <w:tcW w:w="31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menu « Coordination » du portail formateur</w:t>
            </w:r>
          </w:p>
        </w:tc>
        <w:tc>
          <w:tcPr>
            <w:tcW w:w="275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Coordonnateur de filière</w:t>
            </w:r>
          </w:p>
        </w:tc>
      </w:tr>
      <w:tr>
        <w:trPr>
          <w:cantSplit w:val="true"/>
        </w:trPr>
        <w:tc>
          <w:tcPr>
            <w:tcW w:w="37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Étudiant</w:t>
            </w:r>
          </w:p>
        </w:tc>
        <w:tc>
          <w:tcPr>
            <w:tcW w:w="31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portail étudiant</w:t>
            </w:r>
          </w:p>
        </w:tc>
        <w:tc>
          <w:tcPr>
            <w:tcW w:w="275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Portail étudiant</w:t>
            </w:r>
          </w:p>
        </w:tc>
      </w:tr>
      <w:tr>
        <w:trPr>
          <w:cantSplit w:val="true"/>
        </w:trPr>
        <w:tc>
          <w:tcPr>
            <w:tcW w:w="37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Responsable informatique</w:t>
            </w:r>
            <w:r>
              <w:rPr>
                <w:rFonts w:eastAsia="Calibri" w:cs="Calibri"/>
                <w:kern w:val="0"/>
                <w:sz w:val="19"/>
                <w:szCs w:val="19"/>
                <w:lang w:val="fr-FR" w:eastAsia="en-US" w:bidi="ar-SA"/>
              </w:rPr>
              <w:t xml:space="preserve"> chargé d’installer la plateforme</w:t>
            </w:r>
          </w:p>
        </w:tc>
        <w:tc>
          <w:tcPr>
            <w:tcW w:w="31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serveur</w:t>
            </w:r>
          </w:p>
        </w:tc>
        <w:tc>
          <w:tcPr>
            <w:tcW w:w="275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Installation et configuration</w:t>
            </w:r>
          </w:p>
        </w:tc>
      </w:tr>
      <w:tr>
        <w:trPr>
          <w:cantSplit w:val="true"/>
        </w:trPr>
        <w:tc>
          <w:tcPr>
            <w:tcW w:w="37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Développeur</w:t>
            </w:r>
          </w:p>
        </w:tc>
        <w:tc>
          <w:tcPr>
            <w:tcW w:w="31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code source</w:t>
            </w:r>
          </w:p>
        </w:tc>
        <w:tc>
          <w:tcPr>
            <w:tcW w:w="275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Développeurs</w:t>
            </w:r>
            <w:bookmarkStart w:id="2" w:name="qui-fait-quoi"/>
            <w:bookmarkEnd w:id="2"/>
          </w:p>
        </w:tc>
      </w:tr>
    </w:tbl>
    <w:p>
      <w:pPr>
        <w:pStyle w:val="Heading3"/>
        <w:rPr/>
      </w:pPr>
      <w:r>
        <w:rPr/>
        <w:t>Les grands parcours en un coup d’œil</w:t>
      </w:r>
    </w:p>
    <w:p>
      <w:pPr>
        <w:pStyle w:val="Normal"/>
        <w:jc w:val="center"/>
        <w:rPr/>
      </w:pPr>
      <w:r>
        <w:rPr/>
        <w:drawing>
          <wp:inline distT="0" distB="0" distL="0" distR="0">
            <wp:extent cx="5334000" cy="986155"/>
            <wp:effectExtent l="0" t="0" r="0" b="0"/>
            <wp:docPr id="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pic:cNvPicPr>
                      <a:picLocks noChangeAspect="1" noChangeArrowheads="1"/>
                    </pic:cNvPicPr>
                  </pic:nvPicPr>
                  <pic:blipFill>
                    <a:blip r:embed="rId2"/>
                    <a:stretch>
                      <a:fillRect/>
                    </a:stretch>
                  </pic:blipFill>
                  <pic:spPr bwMode="auto">
                    <a:xfrm>
                      <a:off x="0" y="0"/>
                      <a:ext cx="5334000" cy="986155"/>
                    </a:xfrm>
                    <a:prstGeom prst="rect">
                      <a:avLst/>
                    </a:prstGeom>
                  </pic:spPr>
                </pic:pic>
              </a:graphicData>
            </a:graphic>
          </wp:inline>
        </w:drawing>
      </w:r>
    </w:p>
    <w:p>
      <w:pPr>
        <w:pStyle w:val="Normal"/>
        <w:jc w:val="center"/>
        <w:rPr/>
      </w:pPr>
      <w:r>
        <w:rPr/>
        <w:drawing>
          <wp:inline distT="0" distB="0" distL="0" distR="0">
            <wp:extent cx="5334000" cy="45593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5334000" cy="455930"/>
                    </a:xfrm>
                    <a:prstGeom prst="rect">
                      <a:avLst/>
                    </a:prstGeom>
                  </pic:spPr>
                </pic:pic>
              </a:graphicData>
            </a:graphic>
          </wp:inline>
        </w:drawing>
      </w:r>
    </w:p>
    <w:p>
      <w:pPr>
        <w:pStyle w:val="EncadreConseil"/>
        <w:rPr/>
      </w:pPr>
      <w:r>
        <w:rPr>
          <w:b/>
          <w:bCs/>
        </w:rPr>
        <w:t>Conseil de lecture</w:t>
      </w:r>
    </w:p>
    <w:p>
      <w:pPr>
        <w:pStyle w:val="EncadreConseil"/>
        <w:rPr/>
      </w:pPr>
      <w:r>
        <w:rPr/>
        <w:t xml:space="preserve">Chaque page du guide suit le même plan : </w:t>
      </w:r>
      <w:r>
        <w:rPr>
          <w:b/>
          <w:bCs/>
        </w:rPr>
        <w:t>à quoi sert l’écran</w:t>
      </w:r>
      <w:r>
        <w:rPr/>
        <w:t xml:space="preserve">, </w:t>
      </w:r>
      <w:r>
        <w:rPr>
          <w:b/>
          <w:bCs/>
        </w:rPr>
        <w:t>qui peut l’utiliser</w:t>
      </w:r>
      <w:r>
        <w:rPr/>
        <w:t xml:space="preserve">, puis </w:t>
      </w:r>
      <w:r>
        <w:rPr>
          <w:b/>
          <w:bCs/>
        </w:rPr>
        <w:t>des procédures pas à pas</w:t>
      </w:r>
      <w:r>
        <w:rPr/>
        <w:t xml:space="preserve"> avec les noms exacts des boutons tels qu’ils apparaissent à l’écran (en </w:t>
      </w:r>
      <w:r>
        <w:rPr>
          <w:b/>
          <w:bCs/>
        </w:rPr>
        <w:t>gras</w:t>
      </w:r>
      <w:r>
        <w:rPr/>
        <w:t>). Les encadrés « Attention » signalent les actions irréversibles.</w:t>
      </w:r>
    </w:p>
    <w:p>
      <w:pPr>
        <w:pStyle w:val="Normal"/>
        <w:spacing w:before="0" w:after="60"/>
        <w:rPr>
          <w:sz w:val="8"/>
        </w:rPr>
      </w:pPr>
      <w:r>
        <w:rPr>
          <w:sz w:val="8"/>
        </w:rPr>
      </w:r>
      <w:bookmarkStart w:id="3" w:name="présentation-de-smartcampus"/>
      <w:bookmarkStart w:id="4" w:name="présentation-de-smartcampus"/>
      <w:bookmarkEnd w:id="4"/>
    </w:p>
    <w:p>
      <w:pPr>
        <w:pStyle w:val="Heading1"/>
        <w:rPr/>
      </w:pPr>
      <w:bookmarkStart w:id="5" w:name="__RefHeading___Toc15136_1458957718"/>
      <w:bookmarkStart w:id="6" w:name="partie-1-guide-dutilisation"/>
      <w:bookmarkEnd w:id="5"/>
      <w:r>
        <w:rPr/>
        <w:t>Partie 1 — Guide d’utilisation</w:t>
      </w:r>
    </w:p>
    <w:p>
      <w:pPr>
        <w:pStyle w:val="Heading2"/>
        <w:rPr/>
      </w:pPr>
      <w:bookmarkStart w:id="7" w:name="__RefHeading___Toc15138_1458957718"/>
      <w:bookmarkStart w:id="8" w:name="guide-dutilisation"/>
      <w:bookmarkEnd w:id="7"/>
      <w:bookmarkEnd w:id="8"/>
      <w:r>
        <w:rPr/>
        <w:t>Guide d’utilisation</w:t>
      </w:r>
    </w:p>
    <w:p>
      <w:pPr>
        <w:pStyle w:val="FirstParagraph"/>
        <w:rPr/>
      </w:pPr>
      <w:r>
        <w:rPr/>
        <w:t xml:space="preserve">Ce guide explique, écran par écran, comment utiliser SmartCampus </w:t>
      </w:r>
      <w:r>
        <w:rPr>
          <w:b/>
          <w:bCs/>
        </w:rPr>
        <w:t>sans aucune connaissance technique</w:t>
      </w:r>
      <w:r>
        <w:rPr/>
        <w:t>.</w:t>
      </w:r>
    </w:p>
    <w:p>
      <w:pPr>
        <w:pStyle w:val="Heading3"/>
        <w:rPr/>
      </w:pPr>
      <w:bookmarkStart w:id="9" w:name="par-où-commencer"/>
      <w:r>
        <w:rPr/>
        <w:t>Par où commencer ?</w:t>
      </w:r>
    </w:p>
    <w:p>
      <w:pPr>
        <w:pStyle w:val="Compact"/>
        <w:numPr>
          <w:ilvl w:val="0"/>
          <w:numId w:val="132"/>
        </w:numPr>
        <w:rPr/>
      </w:pPr>
      <w:r>
        <w:rPr/>
        <w:t>Lisez Premiers pas : se connecter, se repérer dans l’écran, choisir l’année académique, se déconnecter.</w:t>
      </w:r>
    </w:p>
    <w:p>
      <w:pPr>
        <w:pStyle w:val="Compact"/>
        <w:numPr>
          <w:ilvl w:val="0"/>
          <w:numId w:val="1"/>
        </w:numPr>
        <w:rPr/>
      </w:pPr>
      <w:r>
        <w:rPr/>
        <w:t>Lisez Rôles et droits d’accès pour comprendre pourquoi certains menus n’apparaissent pas pour vous.</w:t>
      </w:r>
    </w:p>
    <w:p>
      <w:pPr>
        <w:pStyle w:val="Compact"/>
        <w:numPr>
          <w:ilvl w:val="0"/>
          <w:numId w:val="1"/>
        </w:numPr>
        <w:rPr/>
      </w:pPr>
      <w:r>
        <w:rPr/>
        <w:t>Allez ensuite directement à la partie qui vous concerne :</w:t>
      </w:r>
    </w:p>
    <w:p>
      <w:pPr>
        <w:pStyle w:val="Compact"/>
        <w:numPr>
          <w:ilvl w:val="1"/>
          <w:numId w:val="2"/>
        </w:numPr>
        <w:rPr/>
      </w:pPr>
      <w:r>
        <w:rPr/>
        <w:t>Administration (direction, secrétariat, scolarité, comptabilité, RH, logistique) ;</w:t>
      </w:r>
    </w:p>
    <w:p>
      <w:pPr>
        <w:pStyle w:val="Compact"/>
        <w:numPr>
          <w:ilvl w:val="1"/>
          <w:numId w:val="2"/>
        </w:numPr>
        <w:rPr/>
      </w:pPr>
      <w:r>
        <w:rPr/>
        <w:t>Portail formateur et, si vous êtes désigné coordonnateur, Coordonnateur de filière ;</w:t>
      </w:r>
    </w:p>
    <w:p>
      <w:pPr>
        <w:pStyle w:val="Compact"/>
        <w:numPr>
          <w:ilvl w:val="1"/>
          <w:numId w:val="2"/>
        </w:numPr>
        <w:rPr/>
      </w:pPr>
      <w:r>
        <w:rPr/>
        <w:t>Portail étudiant ;</w:t>
      </w:r>
    </w:p>
    <w:p>
      <w:pPr>
        <w:pStyle w:val="Compact"/>
        <w:numPr>
          <w:ilvl w:val="1"/>
          <w:numId w:val="2"/>
        </w:numPr>
        <w:rPr/>
      </w:pPr>
      <w:bookmarkStart w:id="10" w:name="par-où-commencer"/>
      <w:r>
        <w:rPr/>
        <w:t>Préinscription en ligne pour les candidats.</w:t>
      </w:r>
      <w:bookmarkEnd w:id="10"/>
    </w:p>
    <w:p>
      <w:pPr>
        <w:pStyle w:val="Heading3"/>
        <w:rPr/>
      </w:pPr>
      <w:bookmarkStart w:id="11" w:name="X3d8916e235a1b627696628410b7bd1f73c59afd"/>
      <w:r>
        <w:rPr/>
        <w:t>Ordre conseillé pour une première mise en service</w:t>
      </w:r>
    </w:p>
    <w:p>
      <w:pPr>
        <w:pStyle w:val="FirstParagraph"/>
        <w:rPr/>
      </w:pPr>
      <w:r>
        <w:rPr/>
        <w:t>Si l’établissement démarre sur la plateforme, suivez cet ordre (détaillé dans Démarrer une nouvelle année) :</w:t>
      </w:r>
    </w:p>
    <w:p>
      <w:pPr>
        <w:pStyle w:val="Compact"/>
        <w:numPr>
          <w:ilvl w:val="0"/>
          <w:numId w:val="133"/>
        </w:numPr>
        <w:rPr/>
      </w:pPr>
      <w:r>
        <w:rPr>
          <w:b/>
          <w:bCs/>
        </w:rPr>
        <w:t>Système</w:t>
      </w:r>
      <w:r>
        <w:rPr/>
        <w:t xml:space="preserve"> → Apparence &amp; École : nom, logo, couleurs, coordonnées de l’établissement.</w:t>
      </w:r>
    </w:p>
    <w:p>
      <w:pPr>
        <w:pStyle w:val="Compact"/>
        <w:numPr>
          <w:ilvl w:val="0"/>
          <w:numId w:val="134"/>
        </w:numPr>
        <w:rPr/>
      </w:pPr>
      <w:r>
        <w:rPr>
          <w:b/>
          <w:bCs/>
        </w:rPr>
        <w:t>Système</w:t>
      </w:r>
      <w:r>
        <w:rPr/>
        <w:t xml:space="preserve"> → Paramètres Globaux : cycles (Licence, BTS…), horaires de la journée et pause, pourcentages CC / SN.</w:t>
      </w:r>
    </w:p>
    <w:p>
      <w:pPr>
        <w:pStyle w:val="Compact"/>
        <w:numPr>
          <w:ilvl w:val="0"/>
          <w:numId w:val="135"/>
        </w:numPr>
        <w:rPr/>
      </w:pPr>
      <w:r>
        <w:rPr>
          <w:b/>
          <w:bCs/>
        </w:rPr>
        <w:t>Système</w:t>
      </w:r>
      <w:r>
        <w:rPr/>
        <w:t xml:space="preserve"> → Rôles puis Utilisateurs : comptes du personnel administratif.</w:t>
      </w:r>
    </w:p>
    <w:p>
      <w:pPr>
        <w:pStyle w:val="Compact"/>
        <w:numPr>
          <w:ilvl w:val="0"/>
          <w:numId w:val="136"/>
        </w:numPr>
        <w:rPr/>
      </w:pPr>
      <w:r>
        <w:rPr>
          <w:b/>
          <w:bCs/>
        </w:rPr>
        <w:t>Pédagogie</w:t>
      </w:r>
      <w:r>
        <w:rPr/>
        <w:t xml:space="preserve"> → Structure Académique : année académique active, filières, spécialités, niveaux, classes, salles.</w:t>
      </w:r>
    </w:p>
    <w:p>
      <w:pPr>
        <w:pStyle w:val="Compact"/>
        <w:numPr>
          <w:ilvl w:val="0"/>
          <w:numId w:val="137"/>
        </w:numPr>
        <w:rPr/>
      </w:pPr>
      <w:r>
        <w:rPr>
          <w:b/>
          <w:bCs/>
        </w:rPr>
        <w:t>Pédagogie</w:t>
      </w:r>
      <w:r>
        <w:rPr/>
        <w:t xml:space="preserve"> → Cours : les modules enseignés et leurs coefficients.</w:t>
      </w:r>
    </w:p>
    <w:p>
      <w:pPr>
        <w:pStyle w:val="Compact"/>
        <w:numPr>
          <w:ilvl w:val="0"/>
          <w:numId w:val="138"/>
        </w:numPr>
        <w:rPr/>
      </w:pPr>
      <w:r>
        <w:rPr>
          <w:b/>
          <w:bCs/>
        </w:rPr>
        <w:t>Enseignants</w:t>
      </w:r>
      <w:r>
        <w:rPr/>
        <w:t xml:space="preserve"> : les formateurs, leurs comptes portail, puis </w:t>
      </w:r>
      <w:r>
        <w:rPr>
          <w:b/>
          <w:bCs/>
        </w:rPr>
        <w:t>Coordonnateurs</w:t>
      </w:r>
      <w:r>
        <w:rPr/>
        <w:t>.</w:t>
      </w:r>
    </w:p>
    <w:p>
      <w:pPr>
        <w:pStyle w:val="Compact"/>
        <w:numPr>
          <w:ilvl w:val="0"/>
          <w:numId w:val="139"/>
        </w:numPr>
        <w:rPr/>
      </w:pPr>
      <w:r>
        <w:rPr>
          <w:b/>
          <w:bCs/>
        </w:rPr>
        <w:t>Finances</w:t>
      </w:r>
      <w:r>
        <w:rPr/>
        <w:t xml:space="preserve"> → Scolarité → Configuration des Frais : frais d’inscription et échéancier de scolarité de chaque classe.</w:t>
      </w:r>
    </w:p>
    <w:p>
      <w:pPr>
        <w:pStyle w:val="Compact"/>
        <w:numPr>
          <w:ilvl w:val="0"/>
          <w:numId w:val="140"/>
        </w:numPr>
        <w:rPr/>
      </w:pPr>
      <w:r>
        <w:rPr>
          <w:b/>
          <w:bCs/>
        </w:rPr>
        <w:t>Pédagogie</w:t>
      </w:r>
      <w:r>
        <w:rPr/>
        <w:t xml:space="preserve"> → Emploi du temps : les créneaux de cours.</w:t>
      </w:r>
    </w:p>
    <w:p>
      <w:pPr>
        <w:pStyle w:val="Compact"/>
        <w:numPr>
          <w:ilvl w:val="0"/>
          <w:numId w:val="141"/>
        </w:numPr>
        <w:rPr/>
      </w:pPr>
      <w:bookmarkStart w:id="12" w:name="X3d8916e235a1b627696628410b7bd1f73c59afd"/>
      <w:r>
        <w:rPr/>
        <w:t>Ouvrez la préinscription en ligne aux candidats.</w:t>
      </w:r>
      <w:bookmarkEnd w:id="12"/>
    </w:p>
    <w:p>
      <w:pPr>
        <w:pStyle w:val="Heading3"/>
        <w:rPr/>
      </w:pPr>
      <w:bookmarkStart w:id="13" w:name="conventions-utilisées-dans-ce-guide"/>
      <w:bookmarkEnd w:id="13"/>
      <w:r>
        <w:rPr/>
        <w:t>Conventions utilisées dans ce guide</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4007"/>
        <w:gridCol w:w="5630"/>
      </w:tblGrid>
      <w:tr>
        <w:trPr>
          <w:tblHeader w:val="true"/>
          <w:cantSplit w:val="true"/>
        </w:trPr>
        <w:tc>
          <w:tcPr>
            <w:tcW w:w="400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Notation</w:t>
            </w:r>
          </w:p>
        </w:tc>
        <w:tc>
          <w:tcPr>
            <w:tcW w:w="563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Signification</w:t>
            </w:r>
          </w:p>
        </w:tc>
      </w:tr>
      <w:tr>
        <w:trPr>
          <w:cantSplit w:val="true"/>
        </w:trPr>
        <w:tc>
          <w:tcPr>
            <w:tcW w:w="40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Finances</w:t>
            </w:r>
            <w:r>
              <w:rPr>
                <w:rFonts w:eastAsia="Calibri" w:cs="Calibri"/>
                <w:kern w:val="0"/>
                <w:sz w:val="19"/>
                <w:szCs w:val="19"/>
                <w:lang w:val="fr-FR" w:eastAsia="en-US" w:bidi="ar-SA"/>
              </w:rPr>
              <w:t xml:space="preserve"> → </w:t>
            </w:r>
            <w:r>
              <w:rPr>
                <w:rFonts w:eastAsia="Calibri" w:cs="Calibri"/>
                <w:b/>
                <w:bCs/>
                <w:kern w:val="0"/>
                <w:sz w:val="19"/>
                <w:szCs w:val="19"/>
                <w:lang w:val="fr-FR" w:eastAsia="en-US" w:bidi="ar-SA"/>
              </w:rPr>
              <w:t>Scolarité</w:t>
            </w:r>
          </w:p>
        </w:tc>
        <w:tc>
          <w:tcPr>
            <w:tcW w:w="56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Cliquez sur le menu « Finances » à gauche, puis sur le sous-menu « Scolarité ».</w:t>
            </w:r>
          </w:p>
        </w:tc>
      </w:tr>
      <w:tr>
        <w:trPr>
          <w:cantSplit w:val="true"/>
        </w:trPr>
        <w:tc>
          <w:tcPr>
            <w:tcW w:w="40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Bouton </w:t>
            </w:r>
            <w:r>
              <w:rPr>
                <w:rFonts w:eastAsia="Calibri" w:cs="Calibri"/>
                <w:b/>
                <w:bCs/>
                <w:kern w:val="0"/>
                <w:sz w:val="19"/>
                <w:szCs w:val="19"/>
                <w:lang w:val="fr-FR" w:eastAsia="en-US" w:bidi="ar-SA"/>
              </w:rPr>
              <w:t>Enregistrer</w:t>
            </w:r>
          </w:p>
        </w:tc>
        <w:tc>
          <w:tcPr>
            <w:tcW w:w="56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texte exact du bouton à l’écran.</w:t>
            </w:r>
          </w:p>
        </w:tc>
      </w:tr>
      <w:tr>
        <w:trPr>
          <w:cantSplit w:val="true"/>
        </w:trPr>
        <w:tc>
          <w:tcPr>
            <w:tcW w:w="40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Onglet </w:t>
            </w:r>
            <w:r>
              <w:rPr>
                <w:rFonts w:eastAsia="Calibri" w:cs="Calibri"/>
                <w:i/>
                <w:iCs/>
                <w:kern w:val="0"/>
                <w:sz w:val="19"/>
                <w:szCs w:val="19"/>
                <w:lang w:val="fr-FR" w:eastAsia="en-US" w:bidi="ar-SA"/>
              </w:rPr>
              <w:t>Suivi des paiements</w:t>
            </w:r>
          </w:p>
        </w:tc>
        <w:tc>
          <w:tcPr>
            <w:tcW w:w="56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Un onglet en haut de la page.</w:t>
            </w:r>
          </w:p>
        </w:tc>
      </w:tr>
      <w:tr>
        <w:trPr>
          <w:cantSplit w:val="true"/>
        </w:trPr>
        <w:tc>
          <w:tcPr>
            <w:tcW w:w="40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Champ « Montant (FCFA) »</w:t>
            </w:r>
          </w:p>
        </w:tc>
        <w:tc>
          <w:tcPr>
            <w:tcW w:w="56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nom exact d’une case à remplir.</w:t>
            </w:r>
          </w:p>
        </w:tc>
      </w:tr>
      <w:tr>
        <w:trPr>
          <w:cantSplit w:val="true"/>
        </w:trPr>
        <w:tc>
          <w:tcPr>
            <w:tcW w:w="40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Champ suivi d’un astérisque </w:t>
            </w:r>
            <w:r>
              <w:rPr>
                <w:rStyle w:val="VerbatimChar"/>
                <w:rFonts w:eastAsia="Calibri" w:cs="Calibri"/>
                <w:kern w:val="0"/>
                <w:lang w:val="fr-FR" w:eastAsia="en-US" w:bidi="ar-SA"/>
              </w:rPr>
              <w:t>*</w:t>
            </w:r>
          </w:p>
        </w:tc>
        <w:tc>
          <w:tcPr>
            <w:tcW w:w="56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Champ obligatoire.</w:t>
            </w:r>
          </w:p>
        </w:tc>
      </w:tr>
    </w:tbl>
    <w:p>
      <w:pPr>
        <w:pStyle w:val="EncadreInfo"/>
        <w:rPr/>
      </w:pPr>
      <w:r>
        <w:rPr>
          <w:b/>
          <w:bCs/>
        </w:rPr>
        <w:t>Montants</w:t>
      </w:r>
    </w:p>
    <w:p>
      <w:pPr>
        <w:pStyle w:val="EncadreInfo"/>
        <w:rPr/>
      </w:pPr>
      <w:r>
        <w:rPr/>
        <w:t xml:space="preserve">Tous les montants sont en </w:t>
      </w:r>
      <w:r>
        <w:rPr>
          <w:b/>
          <w:bCs/>
        </w:rPr>
        <w:t>francs CFA (FCFA)</w:t>
      </w:r>
      <w:r>
        <w:rPr/>
        <w:t xml:space="preserve">, sans décimales ni espaces à la saisie (tapez </w:t>
      </w:r>
      <w:r>
        <w:rPr>
          <w:rStyle w:val="VerbatimChar"/>
        </w:rPr>
        <w:t>150000</w:t>
      </w:r>
      <w:r>
        <w:rPr/>
        <w:t xml:space="preserve">, pas </w:t>
      </w:r>
      <w:r>
        <w:rPr>
          <w:rStyle w:val="VerbatimChar"/>
        </w:rPr>
        <w:t>150 000 F</w:t>
      </w:r>
      <w:r>
        <w:rPr/>
        <w:t>).</w:t>
      </w:r>
    </w:p>
    <w:p>
      <w:pPr>
        <w:pStyle w:val="Normal"/>
        <w:spacing w:before="0" w:after="60"/>
        <w:rPr>
          <w:sz w:val="8"/>
        </w:rPr>
      </w:pPr>
      <w:r>
        <w:rPr>
          <w:sz w:val="8"/>
        </w:rPr>
      </w:r>
    </w:p>
    <w:p>
      <w:pPr>
        <w:pStyle w:val="EncadreInfo"/>
        <w:rPr/>
      </w:pPr>
      <w:r>
        <w:rPr>
          <w:b/>
          <w:bCs/>
        </w:rPr>
        <w:t>Dates et heures</w:t>
      </w:r>
    </w:p>
    <w:p>
      <w:pPr>
        <w:pStyle w:val="EncadreInfo"/>
        <w:rPr/>
      </w:pPr>
      <w:r>
        <w:rPr/>
        <w:t>Les dates se saisissent avec le calendrier qui s’ouvre en cliquant dans la case. Les heures sont au format 24 h (</w:t>
      </w:r>
      <w:r>
        <w:rPr>
          <w:rStyle w:val="VerbatimChar"/>
        </w:rPr>
        <w:t>14:30</w:t>
      </w:r>
      <w:r>
        <w:rPr/>
        <w:t>).</w:t>
      </w:r>
    </w:p>
    <w:p>
      <w:pPr>
        <w:pStyle w:val="Normal"/>
        <w:spacing w:before="0" w:after="60"/>
        <w:rPr>
          <w:sz w:val="8"/>
        </w:rPr>
      </w:pPr>
      <w:r>
        <w:rPr>
          <w:sz w:val="8"/>
        </w:rPr>
      </w:r>
      <w:bookmarkStart w:id="14" w:name="guide-dutilisation"/>
      <w:bookmarkStart w:id="15" w:name="conventions-utilisées-dans-ce-guide"/>
      <w:bookmarkStart w:id="16" w:name="guide-dutilisation"/>
      <w:bookmarkStart w:id="17" w:name="conventions-utilisées-dans-ce-guide"/>
      <w:bookmarkEnd w:id="16"/>
      <w:bookmarkEnd w:id="17"/>
    </w:p>
    <w:p>
      <w:pPr>
        <w:pStyle w:val="Heading2"/>
        <w:rPr/>
      </w:pPr>
      <w:bookmarkStart w:id="18" w:name="__RefHeading___Toc15140_1458957718"/>
      <w:bookmarkStart w:id="19" w:name="premiers-pas"/>
      <w:bookmarkEnd w:id="18"/>
      <w:r>
        <w:rPr/>
        <w:t>Premiers pas</w:t>
      </w:r>
    </w:p>
    <w:p>
      <w:pPr>
        <w:pStyle w:val="Heading3"/>
        <w:rPr/>
      </w:pPr>
      <w:bookmarkStart w:id="20" w:name="ouvrir-la-plateforme"/>
      <w:bookmarkEnd w:id="20"/>
      <w:r>
        <w:rPr/>
        <w:t>Ouvrir la plateforme</w:t>
      </w:r>
    </w:p>
    <w:p>
      <w:pPr>
        <w:pStyle w:val="Compact"/>
        <w:numPr>
          <w:ilvl w:val="0"/>
          <w:numId w:val="142"/>
        </w:numPr>
        <w:rPr/>
      </w:pPr>
      <w:r>
        <w:rPr/>
        <w:t>Ouvrez votre navigateur (Google Chrome, Microsoft Edge, Mozilla Firefox ou Safari, dans une version récente).</w:t>
      </w:r>
    </w:p>
    <w:p>
      <w:pPr>
        <w:pStyle w:val="Compact"/>
        <w:numPr>
          <w:ilvl w:val="0"/>
          <w:numId w:val="143"/>
        </w:numPr>
        <w:rPr/>
      </w:pPr>
      <w:r>
        <w:rPr/>
        <w:t xml:space="preserve">Tapez l’adresse communiquée par l’établissement dans la barre d’adresse (par exemple </w:t>
      </w:r>
      <w:r>
        <w:rPr>
          <w:rStyle w:val="VerbatimChar"/>
        </w:rPr>
        <w:t>https://istc.tenteeglobal.com</w:t>
      </w:r>
      <w:r>
        <w:rPr/>
        <w:t xml:space="preserve">) puis appuyez sur </w:t>
      </w:r>
      <w:r>
        <w:rPr>
          <w:b/>
          <w:bCs/>
        </w:rPr>
        <w:t>Entrée</w:t>
      </w:r>
      <w:r>
        <w:rPr/>
        <w:t>.</w:t>
      </w:r>
    </w:p>
    <w:p>
      <w:pPr>
        <w:pStyle w:val="Compact"/>
        <w:numPr>
          <w:ilvl w:val="0"/>
          <w:numId w:val="144"/>
        </w:numPr>
        <w:rPr/>
      </w:pPr>
      <w:r>
        <w:rPr/>
        <w:t xml:space="preserve">La page de connexion </w:t>
      </w:r>
      <w:r>
        <w:rPr>
          <w:b/>
          <w:bCs/>
        </w:rPr>
        <w:t>SMART CAMPUS</w:t>
      </w:r>
      <w:r>
        <w:rPr/>
        <w:t xml:space="preserve"> s’affiche, avec le message « Bienvenue ».</w:t>
      </w:r>
    </w:p>
    <w:p>
      <w:pPr>
        <w:pStyle w:val="EncadreConseil"/>
        <w:rPr/>
      </w:pPr>
      <w:r>
        <w:rPr>
          <w:b/>
          <w:bCs/>
        </w:rPr>
        <w:t>Ajoutez la page à vos favoris</w:t>
      </w:r>
    </w:p>
    <w:p>
      <w:pPr>
        <w:pStyle w:val="EncadreConseil"/>
        <w:rPr/>
      </w:pPr>
      <w:r>
        <w:rPr/>
        <w:t>Dans Chrome : cliquez sur l’étoile ☆ à droite de la barre d’adresse. Sur téléphone : menu du navigateur → « Ajouter à l’écran d’accueil ».</w:t>
      </w:r>
    </w:p>
    <w:p>
      <w:pPr>
        <w:pStyle w:val="Normal"/>
        <w:spacing w:before="0" w:after="60"/>
        <w:rPr>
          <w:sz w:val="8"/>
        </w:rPr>
      </w:pPr>
      <w:r>
        <w:rPr>
          <w:sz w:val="8"/>
        </w:rPr>
      </w:r>
      <w:bookmarkStart w:id="21" w:name="ouvrir-la-plateforme"/>
      <w:bookmarkStart w:id="22" w:name="ouvrir-la-plateforme"/>
      <w:bookmarkEnd w:id="22"/>
    </w:p>
    <w:p>
      <w:pPr>
        <w:pStyle w:val="Heading3"/>
        <w:rPr/>
      </w:pPr>
      <w:bookmarkStart w:id="23" w:name="se-connecter"/>
      <w:bookmarkEnd w:id="23"/>
      <w:r>
        <w:rPr/>
        <w:t>Se connecter</w:t>
      </w:r>
    </w:p>
    <w:p>
      <w:pPr>
        <w:pStyle w:val="Normal"/>
        <w:jc w:val="center"/>
        <w:rPr/>
      </w:pPr>
      <w:r>
        <w:rPr/>
        <w:drawing>
          <wp:inline distT="0" distB="0" distL="0" distR="0">
            <wp:extent cx="5334000" cy="3333750"/>
            <wp:effectExtent l="0" t="0" r="0" b="0"/>
            <wp:docPr id="3" name="Image3" descr="La page de connex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La page de connexion"/>
                    <pic:cNvPicPr>
                      <a:picLocks noChangeAspect="1" noChangeArrowheads="1"/>
                    </pic:cNvPicPr>
                  </pic:nvPicPr>
                  <pic:blipFill>
                    <a:blip r:embed="rId4"/>
                    <a:stretch>
                      <a:fillRect/>
                    </a:stretch>
                  </pic:blipFill>
                  <pic:spPr bwMode="auto">
                    <a:xfrm>
                      <a:off x="0" y="0"/>
                      <a:ext cx="5334000" cy="3333750"/>
                    </a:xfrm>
                    <a:prstGeom prst="rect">
                      <a:avLst/>
                    </a:prstGeom>
                  </pic:spPr>
                </pic:pic>
              </a:graphicData>
            </a:graphic>
          </wp:inline>
        </w:drawing>
      </w:r>
    </w:p>
    <w:p>
      <w:pPr>
        <w:pStyle w:val="ImageCaption"/>
        <w:rPr/>
      </w:pPr>
      <w:r>
        <w:rPr/>
        <w:t>La page de connexion</w:t>
      </w:r>
    </w:p>
    <w:p>
      <w:pPr>
        <w:pStyle w:val="Compact"/>
        <w:numPr>
          <w:ilvl w:val="0"/>
          <w:numId w:val="145"/>
        </w:numPr>
        <w:rPr/>
      </w:pPr>
      <w:r>
        <w:rPr/>
        <w:t xml:space="preserve">Dans le champ « Nom d’utilisateur », tapez l’identifiant qui vous a été remis (par exemple </w:t>
      </w:r>
      <w:r>
        <w:rPr>
          <w:rStyle w:val="VerbatimChar"/>
        </w:rPr>
        <w:t>ngono.alice482</w:t>
      </w:r>
      <w:r>
        <w:rPr/>
        <w:t>). Respectez les minuscules et les points.</w:t>
      </w:r>
    </w:p>
    <w:p>
      <w:pPr>
        <w:pStyle w:val="Compact"/>
        <w:numPr>
          <w:ilvl w:val="0"/>
          <w:numId w:val="146"/>
        </w:numPr>
        <w:rPr/>
      </w:pPr>
      <w:r>
        <w:rPr/>
        <w:t xml:space="preserve">Dans le champ « Mot de passe », tapez votre mot de passe. Les caractères sont masqués ; vérifiez la touche </w:t>
      </w:r>
      <w:r>
        <w:rPr>
          <w:b/>
          <w:bCs/>
        </w:rPr>
        <w:t>Verr. Maj</w:t>
      </w:r>
      <w:r>
        <w:rPr/>
        <w:t xml:space="preserve"> (majuscules).</w:t>
      </w:r>
    </w:p>
    <w:p>
      <w:pPr>
        <w:pStyle w:val="Compact"/>
        <w:numPr>
          <w:ilvl w:val="0"/>
          <w:numId w:val="147"/>
        </w:numPr>
        <w:rPr/>
      </w:pPr>
      <w:r>
        <w:rPr/>
        <w:t>Si une case « Je ne suis pas un robot » (reCAPTCHA) est affichée, cochez-la et répondez éventuellement à l’image proposée.</w:t>
      </w:r>
    </w:p>
    <w:p>
      <w:pPr>
        <w:pStyle w:val="Compact"/>
        <w:numPr>
          <w:ilvl w:val="0"/>
          <w:numId w:val="148"/>
        </w:numPr>
        <w:rPr/>
      </w:pPr>
      <w:r>
        <w:rPr/>
        <w:t>Cliquez sur le bouton de connexion.</w:t>
      </w:r>
    </w:p>
    <w:p>
      <w:pPr>
        <w:pStyle w:val="FirstParagraph"/>
        <w:rPr/>
      </w:pPr>
      <w:r>
        <w:rPr/>
        <w:t>Selon votre type de compte, vous arrivez automatiquement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4001"/>
        <w:gridCol w:w="5636"/>
      </w:tblGrid>
      <w:tr>
        <w:trPr>
          <w:tblHeader w:val="true"/>
          <w:cantSplit w:val="true"/>
        </w:trPr>
        <w:tc>
          <w:tcPr>
            <w:tcW w:w="400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Type de compte</w:t>
            </w:r>
          </w:p>
        </w:tc>
        <w:tc>
          <w:tcPr>
            <w:tcW w:w="563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Page d’arrivée</w:t>
            </w:r>
          </w:p>
        </w:tc>
      </w:tr>
      <w:tr>
        <w:trPr>
          <w:cantSplit w:val="true"/>
        </w:trPr>
        <w:tc>
          <w:tcPr>
            <w:tcW w:w="40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Personnel administratif (admin, secrétariat, finance…)</w:t>
            </w:r>
          </w:p>
        </w:tc>
        <w:tc>
          <w:tcPr>
            <w:tcW w:w="56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Tableau de bord</w:t>
            </w:r>
            <w:r>
              <w:rPr>
                <w:rFonts w:eastAsia="Calibri" w:cs="Calibri"/>
                <w:kern w:val="0"/>
                <w:sz w:val="19"/>
                <w:szCs w:val="19"/>
                <w:lang w:val="fr-FR" w:eastAsia="en-US" w:bidi="ar-SA"/>
              </w:rPr>
              <w:t xml:space="preserve"> de l’administration</w:t>
            </w:r>
          </w:p>
        </w:tc>
      </w:tr>
      <w:tr>
        <w:trPr>
          <w:cantSplit w:val="true"/>
        </w:trPr>
        <w:tc>
          <w:tcPr>
            <w:tcW w:w="40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Formateur</w:t>
            </w:r>
          </w:p>
        </w:tc>
        <w:tc>
          <w:tcPr>
            <w:tcW w:w="56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Portail formateur</w:t>
            </w:r>
            <w:r>
              <w:rPr>
                <w:rFonts w:eastAsia="Calibri" w:cs="Calibri"/>
                <w:kern w:val="0"/>
                <w:sz w:val="19"/>
                <w:szCs w:val="19"/>
                <w:lang w:val="fr-FR" w:eastAsia="en-US" w:bidi="ar-SA"/>
              </w:rPr>
              <w:t xml:space="preserve"> (Tableau de bord du formateur)</w:t>
            </w:r>
          </w:p>
        </w:tc>
      </w:tr>
      <w:tr>
        <w:trPr>
          <w:cantSplit w:val="true"/>
        </w:trPr>
        <w:tc>
          <w:tcPr>
            <w:tcW w:w="40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w:t>
            </w:r>
          </w:p>
        </w:tc>
        <w:tc>
          <w:tcPr>
            <w:tcW w:w="56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Portail étudiant</w:t>
            </w:r>
            <w:r>
              <w:rPr>
                <w:rFonts w:eastAsia="Calibri" w:cs="Calibri"/>
                <w:kern w:val="0"/>
                <w:sz w:val="19"/>
                <w:szCs w:val="19"/>
                <w:lang w:val="fr-FR" w:eastAsia="en-US" w:bidi="ar-SA"/>
              </w:rPr>
              <w:t xml:space="preserve"> (« Bienvenue, </w:t>
            </w:r>
            <w:r>
              <w:rPr>
                <w:rFonts w:eastAsia="Calibri" w:cs="Calibri"/>
                <w:i/>
                <w:iCs/>
                <w:kern w:val="0"/>
                <w:sz w:val="19"/>
                <w:szCs w:val="19"/>
                <w:lang w:val="fr-FR" w:eastAsia="en-US" w:bidi="ar-SA"/>
              </w:rPr>
              <w:t>votre nom</w:t>
            </w:r>
            <w:r>
              <w:rPr>
                <w:rFonts w:eastAsia="Calibri" w:cs="Calibri"/>
                <w:kern w:val="0"/>
                <w:sz w:val="19"/>
                <w:szCs w:val="19"/>
                <w:lang w:val="fr-FR" w:eastAsia="en-US" w:bidi="ar-SA"/>
              </w:rPr>
              <w:t xml:space="preserve"> »)</w:t>
            </w:r>
          </w:p>
        </w:tc>
      </w:tr>
    </w:tbl>
    <w:p>
      <w:pPr>
        <w:pStyle w:val="Heading4"/>
        <w:rPr/>
      </w:pPr>
      <w:r>
        <w:rPr/>
        <w:t>Qui me donne mes identifiants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1335"/>
        <w:gridCol w:w="4467"/>
        <w:gridCol w:w="3836"/>
      </w:tblGrid>
      <w:tr>
        <w:trPr>
          <w:tblHeader w:val="true"/>
          <w:cantSplit w:val="true"/>
        </w:trPr>
        <w:tc>
          <w:tcPr>
            <w:tcW w:w="133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Vous êtes</w:t>
            </w:r>
          </w:p>
        </w:tc>
        <w:tc>
          <w:tcPr>
            <w:tcW w:w="446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Vos identifiants sont créés par</w:t>
            </w:r>
          </w:p>
        </w:tc>
        <w:tc>
          <w:tcPr>
            <w:tcW w:w="383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Où l’administration les trouve</w:t>
            </w:r>
          </w:p>
        </w:tc>
      </w:tr>
      <w:tr>
        <w:trPr>
          <w:cantSplit w:val="true"/>
        </w:trPr>
        <w:tc>
          <w:tcPr>
            <w:tcW w:w="13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Personnel</w:t>
            </w:r>
          </w:p>
        </w:tc>
        <w:tc>
          <w:tcPr>
            <w:tcW w:w="44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L’administrateur, dans </w:t>
            </w:r>
            <w:r>
              <w:rPr>
                <w:rFonts w:eastAsia="Calibri" w:cs="Calibri"/>
                <w:b/>
                <w:bCs/>
                <w:kern w:val="0"/>
                <w:sz w:val="19"/>
                <w:szCs w:val="19"/>
                <w:lang w:val="fr-FR" w:eastAsia="en-US" w:bidi="ar-SA"/>
              </w:rPr>
              <w:t>Système</w:t>
            </w:r>
            <w:r>
              <w:rPr>
                <w:rFonts w:eastAsia="Calibri" w:cs="Calibri"/>
                <w:kern w:val="0"/>
                <w:sz w:val="19"/>
                <w:szCs w:val="19"/>
                <w:lang w:val="fr-FR" w:eastAsia="en-US" w:bidi="ar-SA"/>
              </w:rPr>
              <w:t xml:space="preserve"> → onglet </w:t>
            </w:r>
            <w:r>
              <w:rPr>
                <w:rFonts w:eastAsia="Calibri" w:cs="Calibri"/>
                <w:i/>
                <w:iCs/>
                <w:kern w:val="0"/>
                <w:sz w:val="19"/>
                <w:szCs w:val="19"/>
                <w:lang w:val="fr-FR" w:eastAsia="en-US" w:bidi="ar-SA"/>
              </w:rPr>
              <w:t>Utilisateurs</w:t>
            </w:r>
          </w:p>
        </w:tc>
        <w:tc>
          <w:tcPr>
            <w:tcW w:w="38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Fenêtre « Accès Utilisateur » affichée à la création</w:t>
            </w:r>
          </w:p>
        </w:tc>
      </w:tr>
      <w:tr>
        <w:trPr>
          <w:cantSplit w:val="true"/>
        </w:trPr>
        <w:tc>
          <w:tcPr>
            <w:tcW w:w="13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Formateur</w:t>
            </w:r>
          </w:p>
        </w:tc>
        <w:tc>
          <w:tcPr>
            <w:tcW w:w="44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L’administration, dans </w:t>
            </w:r>
            <w:r>
              <w:rPr>
                <w:rFonts w:eastAsia="Calibri" w:cs="Calibri"/>
                <w:b/>
                <w:bCs/>
                <w:kern w:val="0"/>
                <w:sz w:val="19"/>
                <w:szCs w:val="19"/>
                <w:lang w:val="fr-FR" w:eastAsia="en-US" w:bidi="ar-SA"/>
              </w:rPr>
              <w:t>Enseignants</w:t>
            </w:r>
            <w:r>
              <w:rPr>
                <w:rFonts w:eastAsia="Calibri" w:cs="Calibri"/>
                <w:kern w:val="0"/>
                <w:sz w:val="19"/>
                <w:szCs w:val="19"/>
                <w:lang w:val="fr-FR" w:eastAsia="en-US" w:bidi="ar-SA"/>
              </w:rPr>
              <w:t xml:space="preserve"> → bouton </w:t>
            </w:r>
            <w:r>
              <w:rPr>
                <w:rFonts w:eastAsia="Calibri" w:cs="Calibri"/>
                <w:b/>
                <w:bCs/>
                <w:kern w:val="0"/>
                <w:sz w:val="19"/>
                <w:szCs w:val="19"/>
                <w:lang w:val="fr-FR" w:eastAsia="en-US" w:bidi="ar-SA"/>
              </w:rPr>
              <w:t>Générer un compte portail</w:t>
            </w:r>
          </w:p>
        </w:tc>
        <w:tc>
          <w:tcPr>
            <w:tcW w:w="38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Fenêtre « Identifiants du formateur »</w:t>
            </w:r>
          </w:p>
        </w:tc>
      </w:tr>
      <w:tr>
        <w:trPr>
          <w:cantSplit w:val="true"/>
        </w:trPr>
        <w:tc>
          <w:tcPr>
            <w:tcW w:w="13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w:t>
            </w:r>
          </w:p>
        </w:tc>
        <w:tc>
          <w:tcPr>
            <w:tcW w:w="44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Automatiquement, à l’approbation de la préinscription ou à l’ajout de l’étudiant</w:t>
            </w:r>
          </w:p>
        </w:tc>
        <w:tc>
          <w:tcPr>
            <w:tcW w:w="38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Étudiants</w:t>
            </w:r>
            <w:r>
              <w:rPr>
                <w:rFonts w:eastAsia="Calibri" w:cs="Calibri"/>
                <w:kern w:val="0"/>
                <w:sz w:val="19"/>
                <w:szCs w:val="19"/>
                <w:lang w:val="fr-FR" w:eastAsia="en-US" w:bidi="ar-SA"/>
              </w:rPr>
              <w:t xml:space="preserve"> → icône « Voir détails » → rubrique </w:t>
            </w:r>
            <w:r>
              <w:rPr>
                <w:rFonts w:eastAsia="Calibri" w:cs="Calibri"/>
                <w:i/>
                <w:iCs/>
                <w:kern w:val="0"/>
                <w:sz w:val="19"/>
                <w:szCs w:val="19"/>
                <w:lang w:val="fr-FR" w:eastAsia="en-US" w:bidi="ar-SA"/>
              </w:rPr>
              <w:t>Accès Portail Étudiant</w:t>
            </w:r>
          </w:p>
        </w:tc>
      </w:tr>
    </w:tbl>
    <w:p>
      <w:pPr>
        <w:pStyle w:val="Heading4"/>
        <w:rPr/>
      </w:pPr>
      <w:r>
        <w:rPr/>
        <w:t>Messages d’erreur à la connexion</w:t>
      </w:r>
    </w:p>
    <w:p>
      <w:pPr>
        <w:pStyle w:val="Normal"/>
        <w:jc w:val="center"/>
        <w:rPr/>
      </w:pPr>
      <w:r>
        <w:rPr/>
        <w:drawing>
          <wp:inline distT="0" distB="0" distL="0" distR="0">
            <wp:extent cx="5334000" cy="3333750"/>
            <wp:effectExtent l="0" t="0" r="0" b="0"/>
            <wp:docPr id="4" name="Image4" descr="Identifiant et mot de passe saisis : il reste à cliquer sur « Se connec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Identifiant et mot de passe saisis : il reste à cliquer sur « Se connecter »"/>
                    <pic:cNvPicPr>
                      <a:picLocks noChangeAspect="1" noChangeArrowheads="1"/>
                    </pic:cNvPicPr>
                  </pic:nvPicPr>
                  <pic:blipFill>
                    <a:blip r:embed="rId5"/>
                    <a:stretch>
                      <a:fillRect/>
                    </a:stretch>
                  </pic:blipFill>
                  <pic:spPr bwMode="auto">
                    <a:xfrm>
                      <a:off x="0" y="0"/>
                      <a:ext cx="5334000" cy="3333750"/>
                    </a:xfrm>
                    <a:prstGeom prst="rect">
                      <a:avLst/>
                    </a:prstGeom>
                  </pic:spPr>
                </pic:pic>
              </a:graphicData>
            </a:graphic>
          </wp:inline>
        </w:drawing>
      </w:r>
    </w:p>
    <w:p>
      <w:pPr>
        <w:pStyle w:val="ImageCaption"/>
        <w:rPr/>
      </w:pPr>
      <w:r>
        <w:rPr/>
        <w:t>Identifiant et mot de passe saisis : il reste à cliquer sur « Se connecter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476"/>
        <w:gridCol w:w="3262"/>
        <w:gridCol w:w="3900"/>
      </w:tblGrid>
      <w:tr>
        <w:trPr>
          <w:tblHeader w:val="true"/>
          <w:cantSplit w:val="true"/>
        </w:trPr>
        <w:tc>
          <w:tcPr>
            <w:tcW w:w="247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Message / situation</w:t>
            </w:r>
          </w:p>
        </w:tc>
        <w:tc>
          <w:tcPr>
            <w:tcW w:w="326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Cause</w:t>
            </w:r>
          </w:p>
        </w:tc>
        <w:tc>
          <w:tcPr>
            <w:tcW w:w="390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Que faire</w:t>
            </w:r>
          </w:p>
        </w:tc>
      </w:tr>
      <w:tr>
        <w:trPr>
          <w:cantSplit w:val="true"/>
        </w:trPr>
        <w:tc>
          <w:tcPr>
            <w:tcW w:w="247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Identifiants incorrects</w:t>
            </w:r>
          </w:p>
        </w:tc>
        <w:tc>
          <w:tcPr>
            <w:tcW w:w="32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d’utilisateur ou mot de passe erroné</w:t>
            </w:r>
          </w:p>
        </w:tc>
        <w:tc>
          <w:tcPr>
            <w:tcW w:w="39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Vérifiez la saisie (majuscules, espaces). Après plusieurs échecs, demandez une réinitialisation.</w:t>
            </w:r>
          </w:p>
        </w:tc>
      </w:tr>
      <w:tr>
        <w:trPr>
          <w:cantSplit w:val="true"/>
        </w:trPr>
        <w:tc>
          <w:tcPr>
            <w:tcW w:w="247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Compte désactivé</w:t>
            </w:r>
          </w:p>
        </w:tc>
        <w:tc>
          <w:tcPr>
            <w:tcW w:w="32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L’administration a désactivé le compte</w:t>
            </w:r>
          </w:p>
        </w:tc>
        <w:tc>
          <w:tcPr>
            <w:tcW w:w="39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Contactez l’administration.</w:t>
            </w:r>
          </w:p>
        </w:tc>
      </w:tr>
      <w:tr>
        <w:trPr>
          <w:cantSplit w:val="true"/>
        </w:trPr>
        <w:tc>
          <w:tcPr>
            <w:tcW w:w="247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Veuillez valider le reCAPTCHA / reCAPTCHA invalide ou expiré</w:t>
            </w:r>
          </w:p>
        </w:tc>
        <w:tc>
          <w:tcPr>
            <w:tcW w:w="32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case « Je ne suis pas un robot » n’a pas été cochée ou a expiré (au bout de 2 minutes)</w:t>
            </w:r>
          </w:p>
        </w:tc>
        <w:tc>
          <w:tcPr>
            <w:tcW w:w="39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Rechargez la page (</w:t>
            </w:r>
            <w:r>
              <w:rPr>
                <w:rFonts w:eastAsia="Calibri" w:cs="Calibri"/>
                <w:b/>
                <w:bCs/>
                <w:kern w:val="0"/>
                <w:sz w:val="19"/>
                <w:szCs w:val="19"/>
                <w:lang w:val="fr-FR" w:eastAsia="en-US" w:bidi="ar-SA"/>
              </w:rPr>
              <w:t>F5</w:t>
            </w:r>
            <w:r>
              <w:rPr>
                <w:rFonts w:eastAsia="Calibri" w:cs="Calibri"/>
                <w:kern w:val="0"/>
                <w:sz w:val="19"/>
                <w:szCs w:val="19"/>
                <w:lang w:val="fr-FR" w:eastAsia="en-US" w:bidi="ar-SA"/>
              </w:rPr>
              <w:t>) et recommencez.</w:t>
            </w:r>
          </w:p>
        </w:tc>
      </w:tr>
      <w:tr>
        <w:trPr>
          <w:cantSplit w:val="true"/>
        </w:trPr>
        <w:tc>
          <w:tcPr>
            <w:tcW w:w="247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Vérification reCAPTCHA indisponible, réessayez</w:t>
            </w:r>
          </w:p>
        </w:tc>
        <w:tc>
          <w:tcPr>
            <w:tcW w:w="32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serveur n’arrive pas à joindre Google</w:t>
            </w:r>
          </w:p>
        </w:tc>
        <w:tc>
          <w:tcPr>
            <w:tcW w:w="39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Réessayez ; si cela dure, prévenez le responsable informatique.</w:t>
            </w:r>
          </w:p>
        </w:tc>
      </w:tr>
      <w:tr>
        <w:trPr>
          <w:cantSplit w:val="true"/>
        </w:trPr>
        <w:tc>
          <w:tcPr>
            <w:tcW w:w="247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page tourne sans fin</w:t>
            </w:r>
          </w:p>
        </w:tc>
        <w:tc>
          <w:tcPr>
            <w:tcW w:w="32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Connexion internet coupée ou serveur indisponible</w:t>
            </w:r>
          </w:p>
        </w:tc>
        <w:tc>
          <w:tcPr>
            <w:tcW w:w="39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Vérifiez votre connexion, rechargez la page. Si le problème persiste, prévenez le responsable informatique.</w:t>
            </w:r>
          </w:p>
        </w:tc>
      </w:tr>
    </w:tbl>
    <w:p>
      <w:pPr>
        <w:pStyle w:val="Heading4"/>
        <w:rPr/>
      </w:pPr>
      <w:r>
        <w:rPr/>
        <w:t>J’ai oublié mon mot de passe</w:t>
      </w:r>
    </w:p>
    <w:p>
      <w:pPr>
        <w:pStyle w:val="FirstParagraph"/>
        <w:rPr/>
      </w:pPr>
      <w:r>
        <w:rPr/>
        <w:t>Le lien « Mot de passe oublié ? » de la page de connexion n’envoie pas encore d’email de réinitialisation. Demandez à l’administration :</w:t>
      </w:r>
    </w:p>
    <w:p>
      <w:pPr>
        <w:pStyle w:val="Compact"/>
        <w:numPr>
          <w:ilvl w:val="0"/>
          <w:numId w:val="149"/>
        </w:numPr>
        <w:rPr/>
      </w:pPr>
      <w:r>
        <w:rPr>
          <w:b/>
          <w:bCs/>
        </w:rPr>
        <w:t>Personnel</w:t>
      </w:r>
      <w:r>
        <w:rPr/>
        <w:t xml:space="preserve"> : </w:t>
      </w:r>
      <w:r>
        <w:rPr>
          <w:b/>
          <w:bCs/>
        </w:rPr>
        <w:t>Système</w:t>
      </w:r>
      <w:r>
        <w:rPr/>
        <w:t xml:space="preserve"> → </w:t>
      </w:r>
      <w:r>
        <w:rPr>
          <w:i/>
          <w:iCs/>
        </w:rPr>
        <w:t>Utilisateurs</w:t>
      </w:r>
      <w:r>
        <w:rPr/>
        <w:t xml:space="preserve"> → icône « Changer le mot de passe » sur votre ligne ; un mot de passe temporaire s’affiche, avec un bouton pour le copier.</w:t>
      </w:r>
    </w:p>
    <w:p>
      <w:pPr>
        <w:pStyle w:val="Compact"/>
        <w:numPr>
          <w:ilvl w:val="0"/>
          <w:numId w:val="150"/>
        </w:numPr>
        <w:rPr/>
      </w:pPr>
      <w:r>
        <w:rPr>
          <w:b/>
          <w:bCs/>
        </w:rPr>
        <w:t>Formateur</w:t>
      </w:r>
      <w:r>
        <w:rPr/>
        <w:t xml:space="preserve"> : </w:t>
      </w:r>
      <w:r>
        <w:rPr>
          <w:b/>
          <w:bCs/>
        </w:rPr>
        <w:t>Enseignants</w:t>
      </w:r>
      <w:r>
        <w:rPr/>
        <w:t xml:space="preserve"> → détails du formateur → </w:t>
      </w:r>
      <w:r>
        <w:rPr>
          <w:b/>
          <w:bCs/>
        </w:rPr>
        <w:t>Réinitialiser le mot de passe</w:t>
      </w:r>
      <w:r>
        <w:rPr/>
        <w:t>.</w:t>
      </w:r>
    </w:p>
    <w:p>
      <w:pPr>
        <w:pStyle w:val="EncadreAttention"/>
        <w:rPr/>
      </w:pPr>
      <w:r>
        <w:rPr>
          <w:b/>
          <w:bCs/>
        </w:rPr>
        <w:t>Un mot de passe temporaire n’est affiché qu’une seule fois</w:t>
      </w:r>
    </w:p>
    <w:p>
      <w:pPr>
        <w:pStyle w:val="EncadreAttention"/>
        <w:rPr/>
      </w:pPr>
      <w:r>
        <w:rPr/>
        <w:t>Notez-le ou transmettez-le immédiatement à la personne concernée.</w:t>
      </w:r>
    </w:p>
    <w:p>
      <w:pPr>
        <w:pStyle w:val="Normal"/>
        <w:spacing w:before="0" w:after="60"/>
        <w:rPr>
          <w:sz w:val="8"/>
        </w:rPr>
      </w:pPr>
      <w:r>
        <w:rPr>
          <w:sz w:val="8"/>
        </w:rPr>
      </w:r>
      <w:bookmarkStart w:id="24" w:name="se-connecter"/>
      <w:bookmarkStart w:id="25" w:name="se-connecter"/>
      <w:bookmarkEnd w:id="25"/>
    </w:p>
    <w:p>
      <w:pPr>
        <w:pStyle w:val="Heading3"/>
        <w:rPr/>
      </w:pPr>
      <w:r>
        <w:rPr/>
        <w:t>Se repérer dans l’écran</w:t>
      </w:r>
    </w:p>
    <w:p>
      <w:pPr>
        <w:pStyle w:val="Normal"/>
        <w:jc w:val="center"/>
        <w:rPr/>
      </w:pPr>
      <w:r>
        <w:rPr/>
        <w:drawing>
          <wp:inline distT="0" distB="0" distL="0" distR="0">
            <wp:extent cx="5334000" cy="3333750"/>
            <wp:effectExtent l="0" t="0" r="0" b="0"/>
            <wp:docPr id="5" name="Image5" descr="Les zones de l’écran : (1) menu de gauche, (2) sélecteur d’année académique, (3)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Les zones de l’écran : (1) menu de gauche, (2) sélecteur d’année académique, (3) notifications"/>
                    <pic:cNvPicPr>
                      <a:picLocks noChangeAspect="1" noChangeArrowheads="1"/>
                    </pic:cNvPicPr>
                  </pic:nvPicPr>
                  <pic:blipFill>
                    <a:blip r:embed="rId6"/>
                    <a:stretch>
                      <a:fillRect/>
                    </a:stretch>
                  </pic:blipFill>
                  <pic:spPr bwMode="auto">
                    <a:xfrm>
                      <a:off x="0" y="0"/>
                      <a:ext cx="5334000" cy="3333750"/>
                    </a:xfrm>
                    <a:prstGeom prst="rect">
                      <a:avLst/>
                    </a:prstGeom>
                  </pic:spPr>
                </pic:pic>
              </a:graphicData>
            </a:graphic>
          </wp:inline>
        </w:drawing>
      </w:r>
    </w:p>
    <w:p>
      <w:pPr>
        <w:pStyle w:val="ImageCaption"/>
        <w:rPr/>
      </w:pPr>
      <w:r>
        <w:rPr/>
        <w:t>Les zones de l’écran : (1) menu de gauche, (2) sélecteur d’année académique, (3) notifications</w:t>
      </w:r>
    </w:p>
    <w:p>
      <w:pPr>
        <w:pStyle w:val="BodyText"/>
        <w:rPr/>
      </w:pPr>
      <w:r>
        <w:rPr/>
        <w:t>L’écran est composé de trois zones :</w:t>
      </w:r>
    </w:p>
    <w:p>
      <w:pPr>
        <w:pStyle w:val="Compact"/>
        <w:numPr>
          <w:ilvl w:val="0"/>
          <w:numId w:val="151"/>
        </w:numPr>
        <w:rPr/>
      </w:pPr>
      <w:r>
        <w:rPr>
          <w:b/>
          <w:bCs/>
        </w:rPr>
        <w:t>Le menu de gauche</w:t>
      </w:r>
      <w:r>
        <w:rPr/>
        <w:t xml:space="preserve"> : la liste des modules auxquels vous avez accès. Sur téléphone, il est caché ; touchez l’icône ☰ (« Menu principal ») en haut à gauche pour l’ouvrir. Les menus avec une flèche (par exemple </w:t>
      </w:r>
      <w:r>
        <w:rPr>
          <w:i/>
          <w:iCs/>
        </w:rPr>
        <w:t>Pédagogie</w:t>
      </w:r>
      <w:r>
        <w:rPr/>
        <w:t xml:space="preserve">, </w:t>
      </w:r>
      <w:r>
        <w:rPr>
          <w:i/>
          <w:iCs/>
        </w:rPr>
        <w:t>Finances</w:t>
      </w:r>
      <w:r>
        <w:rPr/>
        <w:t xml:space="preserve">, </w:t>
      </w:r>
      <w:r>
        <w:rPr>
          <w:i/>
          <w:iCs/>
        </w:rPr>
        <w:t>Personnel</w:t>
      </w:r>
      <w:r>
        <w:rPr/>
        <w:t>) se déplient en sous-menus.</w:t>
      </w:r>
    </w:p>
    <w:p>
      <w:pPr>
        <w:pStyle w:val="Compact"/>
        <w:numPr>
          <w:ilvl w:val="0"/>
          <w:numId w:val="152"/>
        </w:numPr>
        <w:rPr/>
      </w:pPr>
      <w:r>
        <w:rPr>
          <w:b/>
          <w:bCs/>
        </w:rPr>
        <w:t>La barre du haut</w:t>
      </w:r>
      <w:r>
        <w:rPr/>
        <w:t xml:space="preserve"> :</w:t>
      </w:r>
    </w:p>
    <w:p>
      <w:pPr>
        <w:pStyle w:val="Compact"/>
        <w:numPr>
          <w:ilvl w:val="1"/>
          <w:numId w:val="153"/>
        </w:numPr>
        <w:rPr/>
      </w:pPr>
      <w:r>
        <w:rPr/>
        <w:t xml:space="preserve">le </w:t>
      </w:r>
      <w:r>
        <w:rPr>
          <w:b/>
          <w:bCs/>
        </w:rPr>
        <w:t>sélecteur d’année académique</w:t>
      </w:r>
      <w:r>
        <w:rPr/>
        <w:t xml:space="preserve"> (« Année 2025-2026 (Active) ») ;</w:t>
      </w:r>
    </w:p>
    <w:p>
      <w:pPr>
        <w:pStyle w:val="Compact"/>
        <w:numPr>
          <w:ilvl w:val="1"/>
          <w:numId w:val="154"/>
        </w:numPr>
        <w:rPr/>
      </w:pPr>
      <w:r>
        <w:rPr/>
        <w:t xml:space="preserve">la cloche des </w:t>
      </w:r>
      <w:r>
        <w:rPr>
          <w:b/>
          <w:bCs/>
        </w:rPr>
        <w:t>notifications</w:t>
      </w:r>
      <w:r>
        <w:rPr/>
        <w:t xml:space="preserve"> ;</w:t>
      </w:r>
    </w:p>
    <w:p>
      <w:pPr>
        <w:pStyle w:val="Compact"/>
        <w:numPr>
          <w:ilvl w:val="1"/>
          <w:numId w:val="155"/>
        </w:numPr>
        <w:rPr/>
      </w:pPr>
      <w:r>
        <w:rPr/>
        <w:t xml:space="preserve">votre </w:t>
      </w:r>
      <w:r>
        <w:rPr>
          <w:b/>
          <w:bCs/>
        </w:rPr>
        <w:t>avatar</w:t>
      </w:r>
      <w:r>
        <w:rPr/>
        <w:t xml:space="preserve"> : il affiche votre nom d’utilisateur et votre rôle, et donne accès à </w:t>
      </w:r>
      <w:r>
        <w:rPr>
          <w:b/>
          <w:bCs/>
        </w:rPr>
        <w:t>Déconnexion</w:t>
      </w:r>
      <w:r>
        <w:rPr/>
        <w:t>.</w:t>
      </w:r>
    </w:p>
    <w:p>
      <w:pPr>
        <w:pStyle w:val="Compact"/>
        <w:numPr>
          <w:ilvl w:val="0"/>
          <w:numId w:val="156"/>
        </w:numPr>
        <w:rPr/>
      </w:pPr>
      <w:r>
        <w:rPr>
          <w:b/>
          <w:bCs/>
        </w:rPr>
        <w:t>La zone centrale</w:t>
      </w:r>
      <w:r>
        <w:rPr/>
        <w:t xml:space="preserve"> : la page en cours (tableaux, onglets, boutons d’action).</w:t>
      </w:r>
    </w:p>
    <w:p>
      <w:pPr>
        <w:pStyle w:val="Heading4"/>
        <w:rPr/>
      </w:pPr>
      <w:r>
        <w:rPr/>
        <w:t>Les éléments que vous retrouverez partout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4124"/>
        <w:gridCol w:w="5513"/>
      </w:tblGrid>
      <w:tr>
        <w:trPr>
          <w:tblHeader w:val="true"/>
          <w:cantSplit w:val="true"/>
        </w:trPr>
        <w:tc>
          <w:tcPr>
            <w:tcW w:w="412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Élément</w:t>
            </w:r>
          </w:p>
        </w:tc>
        <w:tc>
          <w:tcPr>
            <w:tcW w:w="551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Rôle</w:t>
            </w:r>
          </w:p>
        </w:tc>
      </w:tr>
      <w:tr>
        <w:trPr>
          <w:cantSplit w:val="true"/>
        </w:trPr>
        <w:tc>
          <w:tcPr>
            <w:tcW w:w="412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Bouton bleu en haut à droite (ex. </w:t>
            </w:r>
            <w:r>
              <w:rPr>
                <w:rFonts w:eastAsia="Calibri" w:cs="Calibri"/>
                <w:b/>
                <w:bCs/>
                <w:kern w:val="0"/>
                <w:sz w:val="19"/>
                <w:szCs w:val="19"/>
                <w:lang w:val="fr-FR" w:eastAsia="en-US" w:bidi="ar-SA"/>
              </w:rPr>
              <w:t>Ajouter un étudiant</w:t>
            </w:r>
            <w:r>
              <w:rPr>
                <w:rFonts w:eastAsia="Calibri" w:cs="Calibri"/>
                <w:kern w:val="0"/>
                <w:sz w:val="19"/>
                <w:szCs w:val="19"/>
                <w:lang w:val="fr-FR" w:eastAsia="en-US" w:bidi="ar-SA"/>
              </w:rPr>
              <w:t xml:space="preserve">, </w:t>
            </w:r>
            <w:r>
              <w:rPr>
                <w:rFonts w:eastAsia="Calibri" w:cs="Calibri"/>
                <w:b/>
                <w:bCs/>
                <w:kern w:val="0"/>
                <w:sz w:val="19"/>
                <w:szCs w:val="19"/>
                <w:lang w:val="fr-FR" w:eastAsia="en-US" w:bidi="ar-SA"/>
              </w:rPr>
              <w:t>Nouveau cours</w:t>
            </w:r>
            <w:r>
              <w:rPr>
                <w:rFonts w:eastAsia="Calibri" w:cs="Calibri"/>
                <w:kern w:val="0"/>
                <w:sz w:val="19"/>
                <w:szCs w:val="19"/>
                <w:lang w:val="fr-FR" w:eastAsia="en-US" w:bidi="ar-SA"/>
              </w:rPr>
              <w:t>)</w:t>
            </w:r>
          </w:p>
        </w:tc>
        <w:tc>
          <w:tcPr>
            <w:tcW w:w="551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Créer un nouvel élément. Ouvre un formulaire.</w:t>
            </w:r>
          </w:p>
        </w:tc>
      </w:tr>
      <w:tr>
        <w:trPr>
          <w:cantSplit w:val="true"/>
        </w:trPr>
        <w:tc>
          <w:tcPr>
            <w:tcW w:w="412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Icône crayon ✏️ « Modifier »</w:t>
            </w:r>
          </w:p>
        </w:tc>
        <w:tc>
          <w:tcPr>
            <w:tcW w:w="551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Modifier la ligne.</w:t>
            </w:r>
          </w:p>
        </w:tc>
      </w:tr>
      <w:tr>
        <w:trPr>
          <w:cantSplit w:val="true"/>
        </w:trPr>
        <w:tc>
          <w:tcPr>
            <w:tcW w:w="412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Icône corbeille 🗑️ « Supprimer »</w:t>
            </w:r>
          </w:p>
        </w:tc>
        <w:tc>
          <w:tcPr>
            <w:tcW w:w="551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Supprimer. Une fenêtre « Confirmer la suppression » demande toujours une confirmation.</w:t>
            </w:r>
          </w:p>
        </w:tc>
      </w:tr>
      <w:tr>
        <w:trPr>
          <w:cantSplit w:val="true"/>
        </w:trPr>
        <w:tc>
          <w:tcPr>
            <w:tcW w:w="412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Icône œil 👁️ « Voir détails »</w:t>
            </w:r>
          </w:p>
        </w:tc>
        <w:tc>
          <w:tcPr>
            <w:tcW w:w="551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Ouvrir la fiche complète (panneau latéral).</w:t>
            </w:r>
          </w:p>
        </w:tc>
      </w:tr>
      <w:tr>
        <w:trPr>
          <w:cantSplit w:val="true"/>
        </w:trPr>
        <w:tc>
          <w:tcPr>
            <w:tcW w:w="412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Bouton </w:t>
            </w:r>
            <w:r>
              <w:rPr>
                <w:rFonts w:eastAsia="Calibri" w:cs="Calibri"/>
                <w:b/>
                <w:bCs/>
                <w:kern w:val="0"/>
                <w:sz w:val="19"/>
                <w:szCs w:val="19"/>
                <w:lang w:val="fr-FR" w:eastAsia="en-US" w:bidi="ar-SA"/>
              </w:rPr>
              <w:t>Import / Export</w:t>
            </w:r>
          </w:p>
        </w:tc>
        <w:tc>
          <w:tcPr>
            <w:tcW w:w="551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Importer une liste depuis Excel ou exporter le tableau.</w:t>
            </w:r>
          </w:p>
        </w:tc>
      </w:tr>
      <w:tr>
        <w:trPr>
          <w:cantSplit w:val="true"/>
        </w:trPr>
        <w:tc>
          <w:tcPr>
            <w:tcW w:w="412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Bouton </w:t>
            </w:r>
            <w:r>
              <w:rPr>
                <w:rFonts w:eastAsia="Calibri" w:cs="Calibri"/>
                <w:b/>
                <w:bCs/>
                <w:kern w:val="0"/>
                <w:sz w:val="19"/>
                <w:szCs w:val="19"/>
                <w:lang w:val="fr-FR" w:eastAsia="en-US" w:bidi="ar-SA"/>
              </w:rPr>
              <w:t>Exporter (Excel)</w:t>
            </w:r>
            <w:r>
              <w:rPr>
                <w:rFonts w:eastAsia="Calibri" w:cs="Calibri"/>
                <w:kern w:val="0"/>
                <w:sz w:val="19"/>
                <w:szCs w:val="19"/>
                <w:lang w:val="fr-FR" w:eastAsia="en-US" w:bidi="ar-SA"/>
              </w:rPr>
              <w:t xml:space="preserve"> / </w:t>
            </w:r>
            <w:r>
              <w:rPr>
                <w:rFonts w:eastAsia="Calibri" w:cs="Calibri"/>
                <w:b/>
                <w:bCs/>
                <w:kern w:val="0"/>
                <w:sz w:val="19"/>
                <w:szCs w:val="19"/>
                <w:lang w:val="fr-FR" w:eastAsia="en-US" w:bidi="ar-SA"/>
              </w:rPr>
              <w:t>Télécharger PDF</w:t>
            </w:r>
          </w:p>
        </w:tc>
        <w:tc>
          <w:tcPr>
            <w:tcW w:w="551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Télécharger un fichier.</w:t>
            </w:r>
          </w:p>
        </w:tc>
      </w:tr>
      <w:tr>
        <w:trPr>
          <w:cantSplit w:val="true"/>
        </w:trPr>
        <w:tc>
          <w:tcPr>
            <w:tcW w:w="412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Petit message coloré en bas de l’écran</w:t>
            </w:r>
          </w:p>
        </w:tc>
        <w:tc>
          <w:tcPr>
            <w:tcW w:w="551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Confirmation (vert) ou erreur (rouge) de la dernière action. Lisez-le : il explique la raison d’un refus.</w:t>
            </w:r>
          </w:p>
        </w:tc>
      </w:tr>
      <w:tr>
        <w:trPr>
          <w:cantSplit w:val="true"/>
        </w:trPr>
        <w:tc>
          <w:tcPr>
            <w:tcW w:w="412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Onglets en haut de page</w:t>
            </w:r>
          </w:p>
        </w:tc>
        <w:tc>
          <w:tcPr>
            <w:tcW w:w="551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Changer de rubrique sans quitter la page.</w:t>
            </w:r>
            <w:bookmarkStart w:id="26" w:name="se-repérer-dans-lécran"/>
            <w:bookmarkStart w:id="27" w:name="Xb85178c44a0d84b6b0bf73fa3bd7f1660096e6c"/>
            <w:bookmarkEnd w:id="26"/>
            <w:bookmarkEnd w:id="27"/>
          </w:p>
        </w:tc>
      </w:tr>
    </w:tbl>
    <w:p>
      <w:pPr>
        <w:pStyle w:val="Heading3"/>
        <w:rPr/>
      </w:pPr>
      <w:r>
        <w:rPr/>
        <w:t>Choisir l’année académique</w:t>
      </w:r>
    </w:p>
    <w:p>
      <w:pPr>
        <w:pStyle w:val="Normal"/>
        <w:jc w:val="center"/>
        <w:rPr/>
      </w:pPr>
      <w:r>
        <w:rPr/>
        <w:drawing>
          <wp:inline distT="0" distB="0" distL="0" distR="0">
            <wp:extent cx="5334000" cy="3333750"/>
            <wp:effectExtent l="0" t="0" r="0" b="0"/>
            <wp:docPr id="6" name="Image6" descr="Le sélecteur d’année académique ou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Le sélecteur d’année académique ouvert"/>
                    <pic:cNvPicPr>
                      <a:picLocks noChangeAspect="1" noChangeArrowheads="1"/>
                    </pic:cNvPicPr>
                  </pic:nvPicPr>
                  <pic:blipFill>
                    <a:blip r:embed="rId7"/>
                    <a:stretch>
                      <a:fillRect/>
                    </a:stretch>
                  </pic:blipFill>
                  <pic:spPr bwMode="auto">
                    <a:xfrm>
                      <a:off x="0" y="0"/>
                      <a:ext cx="5334000" cy="3333750"/>
                    </a:xfrm>
                    <a:prstGeom prst="rect">
                      <a:avLst/>
                    </a:prstGeom>
                  </pic:spPr>
                </pic:pic>
              </a:graphicData>
            </a:graphic>
          </wp:inline>
        </w:drawing>
      </w:r>
    </w:p>
    <w:p>
      <w:pPr>
        <w:pStyle w:val="ImageCaption"/>
        <w:rPr/>
      </w:pPr>
      <w:r>
        <w:rPr/>
        <w:t>Le sélecteur d’année académique ouvert</w:t>
      </w:r>
    </w:p>
    <w:p>
      <w:pPr>
        <w:pStyle w:val="BodyText"/>
        <w:rPr/>
      </w:pPr>
      <w:r>
        <w:rPr/>
        <w:t xml:space="preserve">Toutes les données (classes, inscriptions, notes, emplois du temps, paiements) sont rangées </w:t>
      </w:r>
      <w:r>
        <w:rPr>
          <w:b/>
          <w:bCs/>
        </w:rPr>
        <w:t>par année académique</w:t>
      </w:r>
      <w:r>
        <w:rPr/>
        <w:t>.</w:t>
      </w:r>
    </w:p>
    <w:p>
      <w:pPr>
        <w:pStyle w:val="Compact"/>
        <w:numPr>
          <w:ilvl w:val="0"/>
          <w:numId w:val="157"/>
        </w:numPr>
        <w:rPr/>
      </w:pPr>
      <w:r>
        <w:rPr/>
        <w:t>Cliquez sur le sélecteur « Année … » dans la barre du haut.</w:t>
      </w:r>
    </w:p>
    <w:p>
      <w:pPr>
        <w:pStyle w:val="Compact"/>
        <w:numPr>
          <w:ilvl w:val="0"/>
          <w:numId w:val="158"/>
        </w:numPr>
        <w:rPr/>
      </w:pPr>
      <w:r>
        <w:rPr/>
        <w:t xml:space="preserve">Choisissez l’année. La mention </w:t>
      </w:r>
      <w:r>
        <w:rPr>
          <w:b/>
          <w:bCs/>
        </w:rPr>
        <w:t>(Active)</w:t>
      </w:r>
      <w:r>
        <w:rPr/>
        <w:t xml:space="preserve"> indique l’année en cours.</w:t>
      </w:r>
    </w:p>
    <w:p>
      <w:pPr>
        <w:pStyle w:val="Compact"/>
        <w:numPr>
          <w:ilvl w:val="0"/>
          <w:numId w:val="159"/>
        </w:numPr>
        <w:rPr/>
      </w:pPr>
      <w:r>
        <w:rPr/>
        <w:t>La page se recharge avec les données de cette année.</w:t>
      </w:r>
    </w:p>
    <w:p>
      <w:pPr>
        <w:pStyle w:val="EncadreAttention"/>
        <w:rPr/>
      </w:pPr>
      <w:r>
        <w:rPr>
          <w:b/>
          <w:bCs/>
        </w:rPr>
        <w:t>Années archivées</w:t>
      </w:r>
    </w:p>
    <w:p>
      <w:pPr>
        <w:pStyle w:val="EncadreAttention"/>
        <w:rPr/>
      </w:pPr>
      <w:r>
        <w:rPr/>
        <w:t xml:space="preserve">Seule l’année </w:t>
      </w:r>
      <w:r>
        <w:rPr>
          <w:b/>
          <w:bCs/>
        </w:rPr>
        <w:t>active</w:t>
      </w:r>
      <w:r>
        <w:rPr/>
        <w:t xml:space="preserve"> est accessible aux utilisateurs ordinaires. Les années précédentes (archives) ne sont consultables que par un </w:t>
      </w:r>
      <w:r>
        <w:rPr>
          <w:b/>
          <w:bCs/>
        </w:rPr>
        <w:t>super-administrateur</w:t>
      </w:r>
      <w:r>
        <w:rPr/>
        <w:t xml:space="preserve">. Si vous voyez des pages vides ou un message de refus après avoir changé d’année, revenez sur l’année </w:t>
      </w:r>
      <w:r>
        <w:rPr>
          <w:i/>
          <w:iCs/>
        </w:rPr>
        <w:t>(Active)</w:t>
      </w:r>
      <w:r>
        <w:rPr/>
        <w:t>.</w:t>
      </w:r>
    </w:p>
    <w:p>
      <w:pPr>
        <w:pStyle w:val="Normal"/>
        <w:spacing w:before="0" w:after="60"/>
        <w:rPr>
          <w:sz w:val="8"/>
        </w:rPr>
      </w:pPr>
      <w:r>
        <w:rPr>
          <w:sz w:val="8"/>
        </w:rPr>
      </w:r>
    </w:p>
    <w:p>
      <w:pPr>
        <w:pStyle w:val="Heading3"/>
        <w:rPr/>
      </w:pPr>
      <w:bookmarkStart w:id="28" w:name="se-déconnecter"/>
      <w:r>
        <w:rPr/>
        <w:t>Se déconnecter</w:t>
      </w:r>
    </w:p>
    <w:p>
      <w:pPr>
        <w:pStyle w:val="Normal"/>
        <w:jc w:val="center"/>
        <w:rPr/>
      </w:pPr>
      <w:r>
        <w:rPr/>
        <w:drawing>
          <wp:inline distT="0" distB="0" distL="0" distR="0">
            <wp:extent cx="5334000" cy="3333750"/>
            <wp:effectExtent l="0" t="0" r="0" b="0"/>
            <wp:docPr id="7" name="Image7" descr="Le menu de l’avatar : nom d’utilisateur, rôle et Déconnex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Le menu de l’avatar : nom d’utilisateur, rôle et Déconnexion"/>
                    <pic:cNvPicPr>
                      <a:picLocks noChangeAspect="1" noChangeArrowheads="1"/>
                    </pic:cNvPicPr>
                  </pic:nvPicPr>
                  <pic:blipFill>
                    <a:blip r:embed="rId8"/>
                    <a:stretch>
                      <a:fillRect/>
                    </a:stretch>
                  </pic:blipFill>
                  <pic:spPr bwMode="auto">
                    <a:xfrm>
                      <a:off x="0" y="0"/>
                      <a:ext cx="5334000" cy="3333750"/>
                    </a:xfrm>
                    <a:prstGeom prst="rect">
                      <a:avLst/>
                    </a:prstGeom>
                  </pic:spPr>
                </pic:pic>
              </a:graphicData>
            </a:graphic>
          </wp:inline>
        </w:drawing>
      </w:r>
    </w:p>
    <w:p>
      <w:pPr>
        <w:pStyle w:val="ImageCaption"/>
        <w:rPr/>
      </w:pPr>
      <w:r>
        <w:rPr/>
        <w:t>Le menu de l’avatar : nom d’utilisateur, rôle et Déconnexion</w:t>
      </w:r>
    </w:p>
    <w:p>
      <w:pPr>
        <w:pStyle w:val="Compact"/>
        <w:numPr>
          <w:ilvl w:val="0"/>
          <w:numId w:val="160"/>
        </w:numPr>
        <w:rPr/>
      </w:pPr>
      <w:r>
        <w:rPr/>
        <w:t>Cliquez sur votre avatar en haut à droite.</w:t>
      </w:r>
    </w:p>
    <w:p>
      <w:pPr>
        <w:pStyle w:val="Compact"/>
        <w:numPr>
          <w:ilvl w:val="0"/>
          <w:numId w:val="161"/>
        </w:numPr>
        <w:rPr/>
      </w:pPr>
      <w:r>
        <w:rPr/>
        <w:t xml:space="preserve">Cliquez sur </w:t>
      </w:r>
      <w:r>
        <w:rPr>
          <w:b/>
          <w:bCs/>
        </w:rPr>
        <w:t>Déconnexion</w:t>
      </w:r>
      <w:r>
        <w:rPr/>
        <w:t xml:space="preserve"> (en rouge).</w:t>
      </w:r>
    </w:p>
    <w:p>
      <w:pPr>
        <w:pStyle w:val="FirstParagraph"/>
        <w:rPr/>
      </w:pPr>
      <w:bookmarkStart w:id="29" w:name="se-déconnecter"/>
      <w:r>
        <w:rPr/>
        <w:t>Déconnectez-vous toujours sur un ordinateur partagé. Par sécurité, la session expire aussi d’elle-même : après une longue inactivité (environ une journée), la plateforme vous renvoie vers la page de connexion.</w:t>
      </w:r>
      <w:bookmarkEnd w:id="29"/>
    </w:p>
    <w:p>
      <w:pPr>
        <w:pStyle w:val="Heading3"/>
        <w:rPr/>
      </w:pPr>
      <w:bookmarkStart w:id="30" w:name="X81810f1d5522ccf6d9442ea72f049b15a6eb1e8"/>
      <w:r>
        <w:rPr/>
        <w:t>Importer une liste depuis Excel (Import / Export)</w:t>
      </w:r>
    </w:p>
    <w:p>
      <w:pPr>
        <w:pStyle w:val="FirstParagraph"/>
        <w:rPr/>
      </w:pPr>
      <w:r>
        <w:rPr/>
        <w:t xml:space="preserve">Les pages Enseignants, Personnel, Inventaire et Emploi du temps proposent un bouton </w:t>
      </w:r>
      <w:r>
        <w:rPr>
          <w:b/>
          <w:bCs/>
        </w:rPr>
        <w:t>Import / Export</w:t>
      </w:r>
      <w:r>
        <w:rPr/>
        <w:t xml:space="preserve"> pour éviter la saisie ligne par ligne.</w:t>
      </w:r>
    </w:p>
    <w:p>
      <w:pPr>
        <w:pStyle w:val="Compact"/>
        <w:numPr>
          <w:ilvl w:val="0"/>
          <w:numId w:val="162"/>
        </w:numPr>
        <w:rPr/>
      </w:pPr>
      <w:r>
        <w:rPr/>
        <w:t xml:space="preserve">Cliquez sur </w:t>
      </w:r>
      <w:r>
        <w:rPr>
          <w:b/>
          <w:bCs/>
        </w:rPr>
        <w:t>Import / Export</w:t>
      </w:r>
      <w:r>
        <w:rPr/>
        <w:t>.</w:t>
      </w:r>
    </w:p>
    <w:p>
      <w:pPr>
        <w:pStyle w:val="Compact"/>
        <w:numPr>
          <w:ilvl w:val="0"/>
          <w:numId w:val="163"/>
        </w:numPr>
        <w:rPr/>
      </w:pPr>
      <w:r>
        <w:rPr/>
        <w:t xml:space="preserve">Cliquez sur </w:t>
      </w:r>
      <w:r>
        <w:rPr>
          <w:b/>
          <w:bCs/>
        </w:rPr>
        <w:t>Télécharger modèle</w:t>
      </w:r>
      <w:r>
        <w:rPr/>
        <w:t xml:space="preserve"> : un fichier avec les bonnes colonnes est téléchargé.</w:t>
      </w:r>
    </w:p>
    <w:p>
      <w:pPr>
        <w:pStyle w:val="Compact"/>
        <w:numPr>
          <w:ilvl w:val="0"/>
          <w:numId w:val="164"/>
        </w:numPr>
        <w:rPr/>
      </w:pPr>
      <w:r>
        <w:rPr/>
        <w:t xml:space="preserve">Ouvrez-le dans Excel (ou LibreOffice), remplissez </w:t>
      </w:r>
      <w:r>
        <w:rPr>
          <w:b/>
          <w:bCs/>
        </w:rPr>
        <w:t>une ligne par élément</w:t>
      </w:r>
      <w:r>
        <w:rPr/>
        <w:t xml:space="preserve"> sans modifier la ligne d’en-tête, puis enregistrez (formats acceptés : </w:t>
      </w:r>
      <w:r>
        <w:rPr>
          <w:rStyle w:val="VerbatimChar"/>
        </w:rPr>
        <w:t>.xlsx</w:t>
      </w:r>
      <w:r>
        <w:rPr/>
        <w:t xml:space="preserve">, </w:t>
      </w:r>
      <w:r>
        <w:rPr>
          <w:rStyle w:val="VerbatimChar"/>
        </w:rPr>
        <w:t>.xls</w:t>
      </w:r>
      <w:r>
        <w:rPr/>
        <w:t xml:space="preserve">, </w:t>
      </w:r>
      <w:r>
        <w:rPr>
          <w:rStyle w:val="VerbatimChar"/>
        </w:rPr>
        <w:t>.csv</w:t>
      </w:r>
      <w:r>
        <w:rPr/>
        <w:t>).</w:t>
      </w:r>
    </w:p>
    <w:p>
      <w:pPr>
        <w:pStyle w:val="Compact"/>
        <w:numPr>
          <w:ilvl w:val="0"/>
          <w:numId w:val="165"/>
        </w:numPr>
        <w:rPr/>
      </w:pPr>
      <w:r>
        <w:rPr/>
        <w:t>Revenez dans la fenêtre et choisissez le fichier avec le bouton de sélection de fichier. L’import démarre aussitôt.</w:t>
      </w:r>
    </w:p>
    <w:p>
      <w:pPr>
        <w:pStyle w:val="Compact"/>
        <w:numPr>
          <w:ilvl w:val="0"/>
          <w:numId w:val="166"/>
        </w:numPr>
        <w:rPr/>
      </w:pPr>
      <w:r>
        <w:rPr/>
        <w:t>Lisez le résultat :</w:t>
      </w:r>
    </w:p>
    <w:p>
      <w:pPr>
        <w:pStyle w:val="Compact"/>
        <w:numPr>
          <w:ilvl w:val="1"/>
          <w:numId w:val="167"/>
        </w:numPr>
        <w:rPr/>
      </w:pPr>
      <w:r>
        <w:rPr/>
        <w:t>« Import terminé » : tout a été importé ;</w:t>
      </w:r>
    </w:p>
    <w:p>
      <w:pPr>
        <w:pStyle w:val="Compact"/>
        <w:numPr>
          <w:ilvl w:val="1"/>
          <w:numId w:val="168"/>
        </w:numPr>
        <w:rPr/>
      </w:pPr>
      <w:r>
        <w:rPr/>
        <w:t xml:space="preserve">« Import terminé avec erreurs » : la liste « Erreurs » indique, pour chaque ligne refusée, son numéro (« Ligne 5 : … ») et la raison. Corrigez ces lignes dans le fichier et réimportez </w:t>
      </w:r>
      <w:r>
        <w:rPr>
          <w:b/>
          <w:bCs/>
        </w:rPr>
        <w:t>uniquement</w:t>
      </w:r>
      <w:r>
        <w:rPr/>
        <w:t xml:space="preserve"> celles-ci, pour ne pas créer de doublons.</w:t>
      </w:r>
    </w:p>
    <w:p>
      <w:pPr>
        <w:pStyle w:val="FirstParagraph"/>
        <w:rPr/>
      </w:pPr>
      <w:r>
        <w:rPr>
          <w:b/>
          <w:bCs/>
        </w:rPr>
        <w:t>Exporter CSV</w:t>
      </w:r>
      <w:r>
        <w:rPr/>
        <w:t xml:space="preserve"> télécharge le contenu actuel du tableau.</w:t>
      </w:r>
      <w:bookmarkEnd w:id="30"/>
    </w:p>
    <w:p>
      <w:pPr>
        <w:pStyle w:val="Heading3"/>
        <w:rPr/>
      </w:pPr>
      <w:bookmarkStart w:id="31" w:name="bonnes-pratiques"/>
      <w:r>
        <w:rPr/>
        <w:t>Bonnes pratiques</w:t>
      </w:r>
    </w:p>
    <w:p>
      <w:pPr>
        <w:pStyle w:val="Compact"/>
        <w:numPr>
          <w:ilvl w:val="0"/>
          <w:numId w:val="169"/>
        </w:numPr>
        <w:rPr/>
      </w:pPr>
      <w:r>
        <w:rPr/>
        <w:t>Ne partagez jamais votre mot de passe ; chaque action est faite sous votre nom.</w:t>
      </w:r>
    </w:p>
    <w:p>
      <w:pPr>
        <w:pStyle w:val="Compact"/>
        <w:numPr>
          <w:ilvl w:val="0"/>
          <w:numId w:val="170"/>
        </w:numPr>
        <w:rPr/>
      </w:pPr>
      <w:r>
        <w:rPr/>
        <w:t>N’utilisez pas le bouton « Précédent » du navigateur pendant l’enregistrement d’un formulaire.</w:t>
      </w:r>
    </w:p>
    <w:p>
      <w:pPr>
        <w:pStyle w:val="Compact"/>
        <w:numPr>
          <w:ilvl w:val="0"/>
          <w:numId w:val="171"/>
        </w:numPr>
        <w:rPr/>
      </w:pPr>
      <w:r>
        <w:rPr/>
        <w:t xml:space="preserve">Si une page paraît bloquée, rechargez-la avec </w:t>
      </w:r>
      <w:r>
        <w:rPr>
          <w:b/>
          <w:bCs/>
        </w:rPr>
        <w:t>F5</w:t>
      </w:r>
      <w:r>
        <w:rPr/>
        <w:t xml:space="preserve"> (ou </w:t>
      </w:r>
      <w:r>
        <w:rPr>
          <w:b/>
          <w:bCs/>
        </w:rPr>
        <w:t>Ctrl+R</w:t>
      </w:r>
      <w:r>
        <w:rPr/>
        <w:t xml:space="preserve">, </w:t>
      </w:r>
      <w:r>
        <w:rPr>
          <w:b/>
          <w:bCs/>
        </w:rPr>
        <w:t>Cmd+R</w:t>
      </w:r>
      <w:r>
        <w:rPr/>
        <w:t xml:space="preserve"> sur Mac).</w:t>
      </w:r>
    </w:p>
    <w:p>
      <w:pPr>
        <w:pStyle w:val="Compact"/>
        <w:numPr>
          <w:ilvl w:val="0"/>
          <w:numId w:val="172"/>
        </w:numPr>
        <w:rPr/>
      </w:pPr>
      <w:r>
        <w:rPr/>
        <w:t xml:space="preserve">Les fichiers à joindre (photos, actes, documents de cours) doivent être des </w:t>
      </w:r>
      <w:r>
        <w:rPr>
          <w:b/>
          <w:bCs/>
        </w:rPr>
        <w:t>PDF ou images</w:t>
      </w:r>
      <w:r>
        <w:rPr/>
        <w:t xml:space="preserve"> (JPG, PNG). Les fichiers exécutables sont refusés.</w:t>
      </w:r>
      <w:bookmarkEnd w:id="19"/>
      <w:bookmarkEnd w:id="31"/>
    </w:p>
    <w:p>
      <w:pPr>
        <w:pStyle w:val="Heading2"/>
        <w:rPr/>
      </w:pPr>
      <w:bookmarkStart w:id="32" w:name="__RefHeading___Toc15142_1458957718"/>
      <w:bookmarkStart w:id="33" w:name="rôles-et-droits-daccès"/>
      <w:bookmarkEnd w:id="32"/>
      <w:r>
        <w:rPr/>
        <w:t>Rôles et droits d’accès</w:t>
      </w:r>
    </w:p>
    <w:p>
      <w:pPr>
        <w:pStyle w:val="FirstParagraph"/>
        <w:rPr/>
      </w:pPr>
      <w:r>
        <w:rPr/>
        <w:t xml:space="preserve">SmartCampus distingue </w:t>
      </w:r>
      <w:r>
        <w:rPr>
          <w:b/>
          <w:bCs/>
        </w:rPr>
        <w:t>trois espaces</w:t>
      </w:r>
      <w:r>
        <w:rPr/>
        <w:t xml:space="preserve"> totalement séparés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698"/>
        <w:gridCol w:w="3323"/>
        <w:gridCol w:w="3617"/>
      </w:tblGrid>
      <w:tr>
        <w:trPr>
          <w:tblHeader w:val="true"/>
          <w:cantSplit w:val="true"/>
        </w:trPr>
        <w:tc>
          <w:tcPr>
            <w:tcW w:w="269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Espace</w:t>
            </w:r>
          </w:p>
        </w:tc>
        <w:tc>
          <w:tcPr>
            <w:tcW w:w="332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Pour qui</w:t>
            </w:r>
          </w:p>
        </w:tc>
        <w:tc>
          <w:tcPr>
            <w:tcW w:w="361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Ce qu’on y voit</w:t>
            </w:r>
          </w:p>
        </w:tc>
      </w:tr>
      <w:tr>
        <w:trPr>
          <w:cantSplit w:val="true"/>
        </w:trPr>
        <w:tc>
          <w:tcPr>
            <w:tcW w:w="26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Administration</w:t>
            </w:r>
          </w:p>
        </w:tc>
        <w:tc>
          <w:tcPr>
            <w:tcW w:w="332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Personnel de l’établissement</w:t>
            </w:r>
          </w:p>
        </w:tc>
        <w:tc>
          <w:tcPr>
            <w:tcW w:w="361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Les modules autorisés par le rôle de la personne</w:t>
            </w:r>
          </w:p>
        </w:tc>
      </w:tr>
      <w:tr>
        <w:trPr>
          <w:cantSplit w:val="true"/>
        </w:trPr>
        <w:tc>
          <w:tcPr>
            <w:tcW w:w="26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Portail formateur</w:t>
            </w:r>
          </w:p>
        </w:tc>
        <w:tc>
          <w:tcPr>
            <w:tcW w:w="332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Comptes de type </w:t>
            </w:r>
            <w:r>
              <w:rPr>
                <w:rFonts w:eastAsia="Calibri" w:cs="Calibri"/>
                <w:i/>
                <w:iCs/>
                <w:kern w:val="0"/>
                <w:sz w:val="19"/>
                <w:szCs w:val="19"/>
                <w:lang w:val="fr-FR" w:eastAsia="en-US" w:bidi="ar-SA"/>
              </w:rPr>
              <w:t>formateur</w:t>
            </w:r>
          </w:p>
        </w:tc>
        <w:tc>
          <w:tcPr>
            <w:tcW w:w="361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Uniquement ses classes, ses cours, ses notes, ses heures</w:t>
            </w:r>
          </w:p>
        </w:tc>
      </w:tr>
      <w:tr>
        <w:trPr>
          <w:cantSplit w:val="true"/>
        </w:trPr>
        <w:tc>
          <w:tcPr>
            <w:tcW w:w="26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Portail étudiant</w:t>
            </w:r>
          </w:p>
        </w:tc>
        <w:tc>
          <w:tcPr>
            <w:tcW w:w="332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Comptes de type </w:t>
            </w:r>
            <w:r>
              <w:rPr>
                <w:rFonts w:eastAsia="Calibri" w:cs="Calibri"/>
                <w:i/>
                <w:iCs/>
                <w:kern w:val="0"/>
                <w:sz w:val="19"/>
                <w:szCs w:val="19"/>
                <w:lang w:val="fr-FR" w:eastAsia="en-US" w:bidi="ar-SA"/>
              </w:rPr>
              <w:t>étudiant</w:t>
            </w:r>
          </w:p>
        </w:tc>
        <w:tc>
          <w:tcPr>
            <w:tcW w:w="361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Uniquement son propre dossier</w:t>
            </w:r>
          </w:p>
        </w:tc>
      </w:tr>
    </w:tbl>
    <w:p>
      <w:pPr>
        <w:pStyle w:val="EncadreSucces"/>
        <w:rPr/>
      </w:pPr>
      <w:r>
        <w:rPr>
          <w:b/>
          <w:bCs/>
        </w:rPr>
        <w:t>Cloisonnement garanti</w:t>
      </w:r>
    </w:p>
    <w:p>
      <w:pPr>
        <w:pStyle w:val="EncadreSucces"/>
        <w:rPr/>
      </w:pPr>
      <w:r>
        <w:rPr/>
        <w:t xml:space="preserve">Un étudiant ou un formateur </w:t>
      </w:r>
      <w:r>
        <w:rPr>
          <w:b/>
          <w:bCs/>
        </w:rPr>
        <w:t>ne peut pas</w:t>
      </w:r>
      <w:r>
        <w:rPr/>
        <w:t xml:space="preserve"> accéder à l’administration, même en tapant directement une adresse : le serveur refuse la demande. Un étudiant ne voit jamais les notes ou paiements d’un autre étudiant.</w:t>
      </w:r>
    </w:p>
    <w:p>
      <w:pPr>
        <w:pStyle w:val="Normal"/>
        <w:spacing w:before="0" w:after="60"/>
        <w:rPr>
          <w:sz w:val="8"/>
        </w:rPr>
      </w:pPr>
      <w:r>
        <w:rPr>
          <w:sz w:val="8"/>
        </w:rPr>
      </w:r>
    </w:p>
    <w:p>
      <w:pPr>
        <w:pStyle w:val="Heading3"/>
        <w:rPr/>
      </w:pPr>
      <w:r>
        <w:rPr/>
        <w:t>Les droits d’un rôle d’administration</w:t>
      </w:r>
    </w:p>
    <w:p>
      <w:pPr>
        <w:pStyle w:val="FirstParagraph"/>
        <w:rPr/>
      </w:pPr>
      <w:r>
        <w:rPr/>
        <w:t xml:space="preserve">Chaque rôle (par exemple « Secrétaire », « Comptable », « Responsable pédagogique ») possède </w:t>
      </w:r>
      <w:r>
        <w:rPr>
          <w:b/>
          <w:bCs/>
        </w:rPr>
        <w:t>cinq domaines</w:t>
      </w:r>
      <w:r>
        <w:rPr/>
        <w:t xml:space="preserve"> de droits. Pour chacun, trois niveaux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244"/>
        <w:gridCol w:w="7393"/>
      </w:tblGrid>
      <w:tr>
        <w:trPr>
          <w:tblHeader w:val="true"/>
          <w:cantSplit w:val="true"/>
        </w:trPr>
        <w:tc>
          <w:tcPr>
            <w:tcW w:w="224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Niveau</w:t>
            </w:r>
          </w:p>
        </w:tc>
        <w:tc>
          <w:tcPr>
            <w:tcW w:w="739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Signification</w:t>
            </w:r>
          </w:p>
        </w:tc>
      </w:tr>
      <w:tr>
        <w:trPr>
          <w:cantSplit w:val="true"/>
        </w:trPr>
        <w:tc>
          <w:tcPr>
            <w:tcW w:w="224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Aucun</w:t>
            </w:r>
          </w:p>
        </w:tc>
        <w:tc>
          <w:tcPr>
            <w:tcW w:w="739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menu correspondant n’apparaît pas.</w:t>
            </w:r>
          </w:p>
        </w:tc>
      </w:tr>
      <w:tr>
        <w:trPr>
          <w:cantSplit w:val="true"/>
        </w:trPr>
        <w:tc>
          <w:tcPr>
            <w:tcW w:w="224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Lecture</w:t>
            </w:r>
          </w:p>
        </w:tc>
        <w:tc>
          <w:tcPr>
            <w:tcW w:w="739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menu apparaît, on peut consulter et exporter, mais pas créer, modifier ni supprimer.</w:t>
            </w:r>
          </w:p>
        </w:tc>
      </w:tr>
      <w:tr>
        <w:trPr>
          <w:cantSplit w:val="true"/>
        </w:trPr>
        <w:tc>
          <w:tcPr>
            <w:tcW w:w="224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Écriture</w:t>
            </w:r>
          </w:p>
        </w:tc>
        <w:tc>
          <w:tcPr>
            <w:tcW w:w="739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Accès complet : consultation, création, modification, suppression.</w:t>
            </w:r>
          </w:p>
        </w:tc>
      </w:tr>
    </w:tbl>
    <w:p>
      <w:pPr>
        <w:pStyle w:val="Heading4"/>
        <w:rPr/>
      </w:pPr>
      <w:r>
        <w:rPr/>
        <w:t>Quels menus pour quel domaine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890"/>
        <w:gridCol w:w="6747"/>
      </w:tblGrid>
      <w:tr>
        <w:trPr>
          <w:tblHeader w:val="true"/>
          <w:cantSplit w:val="true"/>
        </w:trPr>
        <w:tc>
          <w:tcPr>
            <w:tcW w:w="289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Domaine (dans l’écran Rôles)</w:t>
            </w:r>
          </w:p>
        </w:tc>
        <w:tc>
          <w:tcPr>
            <w:tcW w:w="674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Menus concernés</w:t>
            </w:r>
          </w:p>
        </w:tc>
      </w:tr>
      <w:tr>
        <w:trPr>
          <w:cantSplit w:val="true"/>
        </w:trPr>
        <w:tc>
          <w:tcPr>
            <w:tcW w:w="2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Étudiants</w:t>
            </w:r>
          </w:p>
        </w:tc>
        <w:tc>
          <w:tcPr>
            <w:tcW w:w="6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Étudiants ; Notes (en complément de Pédagogie)</w:t>
            </w:r>
          </w:p>
        </w:tc>
      </w:tr>
      <w:tr>
        <w:trPr>
          <w:cantSplit w:val="true"/>
        </w:trPr>
        <w:tc>
          <w:tcPr>
            <w:tcW w:w="2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Pédagogie (Notes, Cours)</w:t>
            </w:r>
          </w:p>
        </w:tc>
        <w:tc>
          <w:tcPr>
            <w:tcW w:w="6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Pédagogie : Structure Académique, Cours, Notes, Emploi du temps, Banque d’épreuves, Assiduité, Coordonnateurs</w:t>
            </w:r>
          </w:p>
        </w:tc>
      </w:tr>
      <w:tr>
        <w:trPr>
          <w:cantSplit w:val="true"/>
        </w:trPr>
        <w:tc>
          <w:tcPr>
            <w:tcW w:w="2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Finances</w:t>
            </w:r>
          </w:p>
        </w:tc>
        <w:tc>
          <w:tcPr>
            <w:tcW w:w="6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Finances : Aperçu global, Préinscriptions, Scolarité, Salaires Personnel, Salaires Formateurs, Heures vacataires</w:t>
            </w:r>
          </w:p>
        </w:tc>
      </w:tr>
      <w:tr>
        <w:trPr>
          <w:cantSplit w:val="true"/>
        </w:trPr>
        <w:tc>
          <w:tcPr>
            <w:tcW w:w="2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Logistique / Inventaire</w:t>
            </w:r>
          </w:p>
        </w:tc>
        <w:tc>
          <w:tcPr>
            <w:tcW w:w="6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Inventaire</w:t>
            </w:r>
          </w:p>
        </w:tc>
      </w:tr>
      <w:tr>
        <w:trPr>
          <w:cantSplit w:val="true"/>
        </w:trPr>
        <w:tc>
          <w:tcPr>
            <w:tcW w:w="2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Ressources Humaines</w:t>
            </w:r>
          </w:p>
        </w:tc>
        <w:tc>
          <w:tcPr>
            <w:tcW w:w="6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Enseignants ; Personnel : Liste du personnel, Congés et absences</w:t>
            </w:r>
          </w:p>
        </w:tc>
      </w:tr>
    </w:tbl>
    <w:p>
      <w:pPr>
        <w:pStyle w:val="BodyText"/>
        <w:rPr/>
      </w:pPr>
      <w:r>
        <w:rPr/>
        <w:t xml:space="preserve">Le </w:t>
      </w:r>
      <w:r>
        <w:rPr>
          <w:b/>
          <w:bCs/>
        </w:rPr>
        <w:t>Tableau de bord</w:t>
      </w:r>
      <w:r>
        <w:rPr/>
        <w:t xml:space="preserve"> est visible par tout le personnel.</w:t>
      </w:r>
    </w:p>
    <w:p>
      <w:pPr>
        <w:pStyle w:val="EncadreSucces"/>
        <w:rPr/>
      </w:pPr>
      <w:r>
        <w:rPr>
          <w:b/>
          <w:bCs/>
        </w:rPr>
        <w:t>Droits appliqués par le serveur</w:t>
      </w:r>
    </w:p>
    <w:p>
      <w:pPr>
        <w:pStyle w:val="EncadreSucces"/>
        <w:rPr/>
      </w:pPr>
      <w:r>
        <w:rPr/>
        <w:t xml:space="preserve">Les droits ne masquent pas seulement les menus : le serveur </w:t>
      </w:r>
      <w:r>
        <w:rPr>
          <w:b/>
          <w:bCs/>
        </w:rPr>
        <w:t>refuse</w:t>
      </w:r>
      <w:r>
        <w:rPr/>
        <w:t xml:space="preserve"> toute consultation ou modification hors des droits du rôle (message « Accès refusé : votre rôle n’a pas le droit … »). Seuls les </w:t>
      </w:r>
      <w:r>
        <w:rPr>
          <w:b/>
          <w:bCs/>
        </w:rPr>
        <w:t>référentiels</w:t>
      </w:r>
      <w:r>
        <w:rPr/>
        <w:t xml:space="preserve"> (années, filières, classes, cours, salles, emploi du temps) restent lisibles par tout le personnel, car tous les écrans en ont besoin.</w:t>
      </w:r>
    </w:p>
    <w:p>
      <w:pPr>
        <w:pStyle w:val="Normal"/>
        <w:spacing w:before="0" w:after="60"/>
        <w:rPr>
          <w:sz w:val="8"/>
        </w:rPr>
      </w:pPr>
      <w:r>
        <w:rPr>
          <w:sz w:val="8"/>
        </w:rPr>
      </w:r>
    </w:p>
    <w:p>
      <w:pPr>
        <w:pStyle w:val="Heading4"/>
        <w:rPr/>
      </w:pPr>
      <w:r>
        <w:rPr/>
        <w:t>Lectures croisées utiles aux écrans</w:t>
      </w:r>
    </w:p>
    <w:p>
      <w:pPr>
        <w:pStyle w:val="FirstParagraph"/>
        <w:rPr/>
      </w:pPr>
      <w:r>
        <w:rPr/>
        <w:t xml:space="preserve">Certains écrans affichent des informations d’un autre domaine. Le droit de </w:t>
      </w:r>
      <w:r>
        <w:rPr>
          <w:b/>
          <w:bCs/>
        </w:rPr>
        <w:t>lecture</w:t>
      </w:r>
      <w:r>
        <w:rPr/>
        <w:t xml:space="preserve"> est alors accordé, jamais celui de modification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014"/>
        <w:gridCol w:w="4157"/>
        <w:gridCol w:w="3467"/>
      </w:tblGrid>
      <w:tr>
        <w:trPr>
          <w:tblHeader w:val="true"/>
          <w:cantSplit w:val="true"/>
        </w:trPr>
        <w:tc>
          <w:tcPr>
            <w:tcW w:w="201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Avec le droit…</w:t>
            </w:r>
          </w:p>
        </w:tc>
        <w:tc>
          <w:tcPr>
            <w:tcW w:w="415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on peut aussi consulter…</w:t>
            </w:r>
          </w:p>
        </w:tc>
        <w:tc>
          <w:tcPr>
            <w:tcW w:w="346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pour</w:t>
            </w:r>
          </w:p>
        </w:tc>
      </w:tr>
      <w:tr>
        <w:trPr>
          <w:cantSplit w:val="true"/>
        </w:trPr>
        <w:tc>
          <w:tcPr>
            <w:tcW w:w="20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Finances</w:t>
            </w:r>
          </w:p>
        </w:tc>
        <w:tc>
          <w:tcPr>
            <w:tcW w:w="41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liste des étudiants, leurs inscriptions, le personnel et les formateurs</w:t>
            </w:r>
          </w:p>
        </w:tc>
        <w:tc>
          <w:tcPr>
            <w:tcW w:w="34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encaisser les paiements, préparer la paie</w:t>
            </w:r>
          </w:p>
        </w:tc>
      </w:tr>
      <w:tr>
        <w:trPr>
          <w:cantSplit w:val="true"/>
        </w:trPr>
        <w:tc>
          <w:tcPr>
            <w:tcW w:w="20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Étudiants</w:t>
            </w:r>
          </w:p>
        </w:tc>
        <w:tc>
          <w:tcPr>
            <w:tcW w:w="41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les paiements, échéanciers et notes des étudiants</w:t>
            </w:r>
          </w:p>
        </w:tc>
        <w:tc>
          <w:tcPr>
            <w:tcW w:w="34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fiche complète de l’étudiant</w:t>
            </w:r>
          </w:p>
        </w:tc>
      </w:tr>
      <w:tr>
        <w:trPr>
          <w:cantSplit w:val="true"/>
        </w:trPr>
        <w:tc>
          <w:tcPr>
            <w:tcW w:w="20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Pédagogie</w:t>
            </w:r>
          </w:p>
        </w:tc>
        <w:tc>
          <w:tcPr>
            <w:tcW w:w="41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les étudiants et les formateurs</w:t>
            </w:r>
          </w:p>
        </w:tc>
        <w:tc>
          <w:tcPr>
            <w:tcW w:w="34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saisir les notes, construire l’emploi du temps</w:t>
            </w:r>
          </w:p>
        </w:tc>
      </w:tr>
      <w:tr>
        <w:trPr>
          <w:cantSplit w:val="true"/>
        </w:trPr>
        <w:tc>
          <w:tcPr>
            <w:tcW w:w="20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Logistique</w:t>
            </w:r>
          </w:p>
        </w:tc>
        <w:tc>
          <w:tcPr>
            <w:tcW w:w="41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personnel et les formateurs</w:t>
            </w:r>
          </w:p>
        </w:tc>
        <w:tc>
          <w:tcPr>
            <w:tcW w:w="34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choisir le demandeur d’une demande de matériel</w:t>
            </w:r>
          </w:p>
        </w:tc>
      </w:tr>
      <w:tr>
        <w:trPr>
          <w:cantSplit w:val="true"/>
        </w:trPr>
        <w:tc>
          <w:tcPr>
            <w:tcW w:w="20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Ressources Humaines</w:t>
            </w:r>
          </w:p>
        </w:tc>
        <w:tc>
          <w:tcPr>
            <w:tcW w:w="41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les demandes de matériel et la paie</w:t>
            </w:r>
          </w:p>
        </w:tc>
        <w:tc>
          <w:tcPr>
            <w:tcW w:w="34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onglet </w:t>
            </w:r>
            <w:r>
              <w:rPr>
                <w:rFonts w:eastAsia="Calibri" w:cs="Calibri"/>
                <w:i/>
                <w:iCs/>
                <w:kern w:val="0"/>
                <w:sz w:val="19"/>
                <w:szCs w:val="19"/>
                <w:lang w:val="fr-FR" w:eastAsia="en-US" w:bidi="ar-SA"/>
              </w:rPr>
              <w:t>Demandes</w:t>
            </w:r>
            <w:r>
              <w:rPr>
                <w:rFonts w:eastAsia="Calibri" w:cs="Calibri"/>
                <w:kern w:val="0"/>
                <w:sz w:val="19"/>
                <w:szCs w:val="19"/>
                <w:lang w:val="fr-FR" w:eastAsia="en-US" w:bidi="ar-SA"/>
              </w:rPr>
              <w:t xml:space="preserve"> des congés, suivi des salaires</w:t>
            </w:r>
            <w:bookmarkStart w:id="34" w:name="lectures-croisées-utiles-aux-écrans"/>
            <w:bookmarkEnd w:id="34"/>
          </w:p>
        </w:tc>
      </w:tr>
    </w:tbl>
    <w:p>
      <w:pPr>
        <w:pStyle w:val="Heading4"/>
        <w:rPr/>
      </w:pPr>
      <w:r>
        <w:rPr/>
        <w:t>Rôles d’administration générale</w:t>
      </w:r>
    </w:p>
    <w:p>
      <w:pPr>
        <w:pStyle w:val="FirstParagraph"/>
        <w:rPr/>
      </w:pPr>
      <w:r>
        <w:rPr/>
        <w:t xml:space="preserve">Les rôles dont le code est </w:t>
      </w:r>
      <w:r>
        <w:rPr>
          <w:rStyle w:val="VerbatimChar"/>
        </w:rPr>
        <w:t>admin</w:t>
      </w:r>
      <w:r>
        <w:rPr/>
        <w:t xml:space="preserve"> ou </w:t>
      </w:r>
      <w:r>
        <w:rPr>
          <w:rStyle w:val="VerbatimChar"/>
        </w:rPr>
        <w:t>superadmin</w:t>
      </w:r>
      <w:r>
        <w:rPr/>
        <w:t xml:space="preserve"> (et les comptes « super-utilisateur ») voient </w:t>
      </w:r>
      <w:r>
        <w:rPr>
          <w:b/>
          <w:bCs/>
        </w:rPr>
        <w:t>tous</w:t>
      </w:r>
      <w:r>
        <w:rPr/>
        <w:t xml:space="preserve"> les menus, y compris </w:t>
      </w:r>
      <w:r>
        <w:rPr>
          <w:b/>
          <w:bCs/>
        </w:rPr>
        <w:t>Système</w:t>
      </w:r>
      <w:r>
        <w:rPr/>
        <w:t xml:space="preserve"> (paramètres, utilisateurs, rôles, apparence). Le menu Système n’est jamais visible pour les autres rôles.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5066"/>
        <w:gridCol w:w="4571"/>
      </w:tblGrid>
      <w:tr>
        <w:trPr>
          <w:tblHeader w:val="true"/>
          <w:cantSplit w:val="true"/>
        </w:trPr>
        <w:tc>
          <w:tcPr>
            <w:tcW w:w="506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Action réservée</w:t>
            </w:r>
          </w:p>
        </w:tc>
        <w:tc>
          <w:tcPr>
            <w:tcW w:w="457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Qui peut la faire</w:t>
            </w:r>
          </w:p>
        </w:tc>
      </w:tr>
      <w:tr>
        <w:trPr>
          <w:cantSplit w:val="true"/>
        </w:trPr>
        <w:tc>
          <w:tcPr>
            <w:tcW w:w="506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Créer / modifier des comptes utilisateurs et des rôles</w:t>
            </w:r>
          </w:p>
        </w:tc>
        <w:tc>
          <w:tcPr>
            <w:tcW w:w="45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Administrateurs (</w:t>
            </w:r>
            <w:r>
              <w:rPr>
                <w:rStyle w:val="VerbatimChar"/>
                <w:rFonts w:eastAsia="Calibri" w:cs="Calibri"/>
                <w:kern w:val="0"/>
                <w:lang w:val="fr-FR" w:eastAsia="en-US" w:bidi="ar-SA"/>
              </w:rPr>
              <w:t>admin</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superadmin</w:t>
            </w:r>
            <w:r>
              <w:rPr>
                <w:rFonts w:eastAsia="Calibri" w:cs="Calibri"/>
                <w:kern w:val="0"/>
                <w:sz w:val="19"/>
                <w:szCs w:val="19"/>
                <w:lang w:val="fr-FR" w:eastAsia="en-US" w:bidi="ar-SA"/>
              </w:rPr>
              <w:t>)</w:t>
            </w:r>
          </w:p>
        </w:tc>
      </w:tr>
      <w:tr>
        <w:trPr>
          <w:cantSplit w:val="true"/>
        </w:trPr>
        <w:tc>
          <w:tcPr>
            <w:tcW w:w="506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Valider / dévalider les notes (les rendre visibles aux étudiants)</w:t>
            </w:r>
          </w:p>
        </w:tc>
        <w:tc>
          <w:tcPr>
            <w:tcW w:w="45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Administrateurs, ou rôle avec Pédagogie en </w:t>
            </w:r>
            <w:r>
              <w:rPr>
                <w:rFonts w:eastAsia="Calibri" w:cs="Calibri"/>
                <w:b/>
                <w:bCs/>
                <w:kern w:val="0"/>
                <w:sz w:val="19"/>
                <w:szCs w:val="19"/>
                <w:lang w:val="fr-FR" w:eastAsia="en-US" w:bidi="ar-SA"/>
              </w:rPr>
              <w:t>Écriture</w:t>
            </w:r>
          </w:p>
        </w:tc>
      </w:tr>
      <w:tr>
        <w:trPr>
          <w:cantSplit w:val="true"/>
        </w:trPr>
        <w:tc>
          <w:tcPr>
            <w:tcW w:w="506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Modifier les paramètres globaux, cycles et apparence de l’établissement</w:t>
            </w:r>
          </w:p>
        </w:tc>
        <w:tc>
          <w:tcPr>
            <w:tcW w:w="45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Administrateurs</w:t>
            </w:r>
          </w:p>
        </w:tc>
      </w:tr>
      <w:tr>
        <w:trPr>
          <w:cantSplit w:val="true"/>
        </w:trPr>
        <w:tc>
          <w:tcPr>
            <w:tcW w:w="506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Consulter une année académique archivée</w:t>
            </w:r>
          </w:p>
        </w:tc>
        <w:tc>
          <w:tcPr>
            <w:tcW w:w="45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Super-administrateur uniquement</w:t>
            </w:r>
            <w:bookmarkStart w:id="35" w:name="les-droits-dun-rôle-dadministration"/>
            <w:bookmarkEnd w:id="35"/>
          </w:p>
        </w:tc>
      </w:tr>
    </w:tbl>
    <w:p>
      <w:pPr>
        <w:pStyle w:val="Heading3"/>
        <w:rPr/>
      </w:pPr>
      <w:r>
        <w:rPr/>
        <w:t>Exemples de rôles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152"/>
        <w:gridCol w:w="1551"/>
        <w:gridCol w:w="1534"/>
        <w:gridCol w:w="1414"/>
        <w:gridCol w:w="1651"/>
        <w:gridCol w:w="1335"/>
      </w:tblGrid>
      <w:tr>
        <w:trPr>
          <w:tblHeader w:val="true"/>
          <w:cantSplit w:val="true"/>
        </w:trPr>
        <w:tc>
          <w:tcPr>
            <w:tcW w:w="215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Rôle</w:t>
            </w:r>
          </w:p>
        </w:tc>
        <w:tc>
          <w:tcPr>
            <w:tcW w:w="155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Étudiants</w:t>
            </w:r>
          </w:p>
        </w:tc>
        <w:tc>
          <w:tcPr>
            <w:tcW w:w="153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Pédagogie</w:t>
            </w:r>
          </w:p>
        </w:tc>
        <w:tc>
          <w:tcPr>
            <w:tcW w:w="141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Finances</w:t>
            </w:r>
          </w:p>
        </w:tc>
        <w:tc>
          <w:tcPr>
            <w:tcW w:w="165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Logistique</w:t>
            </w:r>
          </w:p>
        </w:tc>
        <w:tc>
          <w:tcPr>
            <w:tcW w:w="133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RH</w:t>
            </w:r>
          </w:p>
        </w:tc>
      </w:tr>
      <w:tr>
        <w:trPr>
          <w:cantSplit w:val="true"/>
        </w:trPr>
        <w:tc>
          <w:tcPr>
            <w:tcW w:w="215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Secrétaire</w:t>
            </w:r>
          </w:p>
        </w:tc>
        <w:tc>
          <w:tcPr>
            <w:tcW w:w="15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Écriture</w:t>
            </w:r>
          </w:p>
        </w:tc>
        <w:tc>
          <w:tcPr>
            <w:tcW w:w="15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Lecture</w:t>
            </w:r>
          </w:p>
        </w:tc>
        <w:tc>
          <w:tcPr>
            <w:tcW w:w="14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Lecture</w:t>
            </w:r>
          </w:p>
        </w:tc>
        <w:tc>
          <w:tcPr>
            <w:tcW w:w="16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3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r>
      <w:tr>
        <w:trPr>
          <w:cantSplit w:val="true"/>
        </w:trPr>
        <w:tc>
          <w:tcPr>
            <w:tcW w:w="215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Comptable</w:t>
            </w:r>
          </w:p>
        </w:tc>
        <w:tc>
          <w:tcPr>
            <w:tcW w:w="15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Lecture</w:t>
            </w:r>
          </w:p>
        </w:tc>
        <w:tc>
          <w:tcPr>
            <w:tcW w:w="15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4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Écriture</w:t>
            </w:r>
          </w:p>
        </w:tc>
        <w:tc>
          <w:tcPr>
            <w:tcW w:w="16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3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Lecture</w:t>
            </w:r>
          </w:p>
        </w:tc>
      </w:tr>
      <w:tr>
        <w:trPr>
          <w:cantSplit w:val="true"/>
        </w:trPr>
        <w:tc>
          <w:tcPr>
            <w:tcW w:w="215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Responsable pédagogique</w:t>
            </w:r>
          </w:p>
        </w:tc>
        <w:tc>
          <w:tcPr>
            <w:tcW w:w="15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Lecture</w:t>
            </w:r>
          </w:p>
        </w:tc>
        <w:tc>
          <w:tcPr>
            <w:tcW w:w="15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Écriture</w:t>
            </w:r>
          </w:p>
        </w:tc>
        <w:tc>
          <w:tcPr>
            <w:tcW w:w="14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6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3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r>
      <w:tr>
        <w:trPr>
          <w:cantSplit w:val="true"/>
        </w:trPr>
        <w:tc>
          <w:tcPr>
            <w:tcW w:w="215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Logisticien</w:t>
            </w:r>
          </w:p>
        </w:tc>
        <w:tc>
          <w:tcPr>
            <w:tcW w:w="15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5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4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6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Écriture</w:t>
            </w:r>
          </w:p>
        </w:tc>
        <w:tc>
          <w:tcPr>
            <w:tcW w:w="13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r>
      <w:tr>
        <w:trPr>
          <w:cantSplit w:val="true"/>
        </w:trPr>
        <w:tc>
          <w:tcPr>
            <w:tcW w:w="215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Ressources humaines</w:t>
            </w:r>
          </w:p>
        </w:tc>
        <w:tc>
          <w:tcPr>
            <w:tcW w:w="15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5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4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Lecture</w:t>
            </w:r>
          </w:p>
        </w:tc>
        <w:tc>
          <w:tcPr>
            <w:tcW w:w="16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c>
          <w:tcPr>
            <w:tcW w:w="13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Écriture</w:t>
            </w:r>
          </w:p>
        </w:tc>
      </w:tr>
    </w:tbl>
    <w:p>
      <w:pPr>
        <w:pStyle w:val="BodyText"/>
        <w:rPr/>
      </w:pPr>
      <w:r>
        <w:rPr/>
        <w:t>La création de rôles est expliquée dans Système → Rôles.</w:t>
      </w:r>
    </w:p>
    <w:p>
      <w:pPr>
        <w:pStyle w:val="Heading3"/>
        <w:rPr/>
      </w:pPr>
      <w:bookmarkStart w:id="36" w:name="Xcab4b557991e1c0c748edf2a979d34bf735eff2"/>
      <w:r>
        <w:rPr/>
        <w:t>Le cas des formateurs et des coordonnateurs</w:t>
      </w:r>
    </w:p>
    <w:p>
      <w:pPr>
        <w:pStyle w:val="Compact"/>
        <w:numPr>
          <w:ilvl w:val="0"/>
          <w:numId w:val="173"/>
        </w:numPr>
        <w:rPr/>
      </w:pPr>
      <w:r>
        <w:rPr/>
        <w:t xml:space="preserve">Un </w:t>
      </w:r>
      <w:r>
        <w:rPr>
          <w:b/>
          <w:bCs/>
        </w:rPr>
        <w:t>formateur</w:t>
      </w:r>
      <w:r>
        <w:rPr/>
        <w:t xml:space="preserve"> reçoit un compte depuis </w:t>
      </w:r>
      <w:r>
        <w:rPr>
          <w:b/>
          <w:bCs/>
        </w:rPr>
        <w:t>Enseignants</w:t>
      </w:r>
      <w:r>
        <w:rPr/>
        <w:t xml:space="preserve"> → </w:t>
      </w:r>
      <w:r>
        <w:rPr>
          <w:b/>
          <w:bCs/>
        </w:rPr>
        <w:t>Générer un compte portail</w:t>
      </w:r>
      <w:r>
        <w:rPr/>
        <w:t>. Il ne voit que le portail formateur.</w:t>
      </w:r>
    </w:p>
    <w:p>
      <w:pPr>
        <w:pStyle w:val="Compact"/>
        <w:numPr>
          <w:ilvl w:val="0"/>
          <w:numId w:val="174"/>
        </w:numPr>
        <w:rPr/>
      </w:pPr>
      <w:r>
        <w:rPr/>
        <w:t xml:space="preserve">Un </w:t>
      </w:r>
      <w:r>
        <w:rPr>
          <w:b/>
          <w:bCs/>
        </w:rPr>
        <w:t>coordonnateur de filière</w:t>
      </w:r>
      <w:r>
        <w:rPr/>
        <w:t xml:space="preserve"> est un formateur désigné dans </w:t>
      </w:r>
      <w:r>
        <w:rPr>
          <w:b/>
          <w:bCs/>
        </w:rPr>
        <w:t>Pédagogie</w:t>
      </w:r>
      <w:r>
        <w:rPr/>
        <w:t xml:space="preserve"> → </w:t>
      </w:r>
      <w:r>
        <w:rPr>
          <w:b/>
          <w:bCs/>
        </w:rPr>
        <w:t>Coordonnateurs</w:t>
      </w:r>
      <w:r>
        <w:rPr/>
        <w:t xml:space="preserve">. Il voit en plus le menu </w:t>
      </w:r>
      <w:r>
        <w:rPr>
          <w:b/>
          <w:bCs/>
        </w:rPr>
        <w:t>Coordination</w:t>
      </w:r>
      <w:r>
        <w:rPr/>
        <w:t xml:space="preserve"> dans son portail (pointage des heures des vacataires de sa filière).</w:t>
      </w:r>
      <w:bookmarkEnd w:id="36"/>
    </w:p>
    <w:p>
      <w:pPr>
        <w:pStyle w:val="Heading3"/>
        <w:rPr/>
      </w:pPr>
      <w:bookmarkStart w:id="37" w:name="le-cas-des-étudiants"/>
      <w:r>
        <w:rPr/>
        <w:t>Le cas des étudiants</w:t>
      </w:r>
    </w:p>
    <w:p>
      <w:pPr>
        <w:pStyle w:val="FirstParagraph"/>
        <w:rPr/>
      </w:pPr>
      <w:bookmarkStart w:id="38" w:name="rôles-et-droits-daccès"/>
      <w:bookmarkStart w:id="39" w:name="le-cas-des-étudiants"/>
      <w:r>
        <w:rPr/>
        <w:t>Le compte est créé automatiquement quand l’étudiant est ajouté (préinscription approuvée ou ajout direct). Il n’a pas besoin d’être configuré.</w:t>
      </w:r>
      <w:bookmarkEnd w:id="38"/>
      <w:bookmarkEnd w:id="39"/>
    </w:p>
    <w:p>
      <w:pPr>
        <w:pStyle w:val="Heading2"/>
        <w:rPr/>
      </w:pPr>
      <w:bookmarkStart w:id="40" w:name="__RefHeading___Toc15144_1458957718"/>
      <w:bookmarkStart w:id="41" w:name="démarrer-une-nouvelle-année-académique"/>
      <w:bookmarkEnd w:id="40"/>
      <w:r>
        <w:rPr/>
        <w:t>Démarrer une nouvelle année académique</w:t>
      </w:r>
    </w:p>
    <w:p>
      <w:pPr>
        <w:pStyle w:val="FirstParagraph"/>
        <w:rPr/>
      </w:pPr>
      <w:r>
        <w:rPr/>
        <w:t xml:space="preserve">Cette procédure sert à la </w:t>
      </w:r>
      <w:r>
        <w:rPr>
          <w:b/>
          <w:bCs/>
        </w:rPr>
        <w:t>première mise en service</w:t>
      </w:r>
      <w:r>
        <w:rPr/>
        <w:t xml:space="preserve"> et au </w:t>
      </w:r>
      <w:r>
        <w:rPr>
          <w:b/>
          <w:bCs/>
        </w:rPr>
        <w:t>passage d’une année à la suivante</w:t>
      </w:r>
      <w:r>
        <w:rPr/>
        <w:t xml:space="preserve"> (par exemple de 2025-2026 à 2026-2027). Elle est faite par un administrateur.</w:t>
      </w:r>
    </w:p>
    <w:p>
      <w:pPr>
        <w:pStyle w:val="Heading3"/>
        <w:rPr/>
      </w:pPr>
      <w:bookmarkStart w:id="42" w:name="liste-de-contrôle"/>
      <w:r>
        <w:rPr/>
        <w:t>Liste de contrôle</w:t>
      </w:r>
    </w:p>
    <w:p>
      <w:pPr>
        <w:pStyle w:val="Compact"/>
        <w:numPr>
          <w:ilvl w:val="0"/>
          <w:numId w:val="175"/>
        </w:numPr>
        <w:rPr/>
      </w:pPr>
      <w:r>
        <w:rPr/>
        <w:t xml:space="preserve">☐ </w:t>
      </w:r>
      <w:r>
        <w:rPr/>
        <w:t>1. Créer la nouvelle année académique et la rendre active</w:t>
      </w:r>
    </w:p>
    <w:p>
      <w:pPr>
        <w:pStyle w:val="Compact"/>
        <w:numPr>
          <w:ilvl w:val="0"/>
          <w:numId w:val="176"/>
        </w:numPr>
        <w:rPr/>
      </w:pPr>
      <w:r>
        <w:rPr/>
        <w:t xml:space="preserve">☐ </w:t>
      </w:r>
      <w:r>
        <w:rPr/>
        <w:t>2. Vérifier les classes générées automatiquement</w:t>
      </w:r>
    </w:p>
    <w:p>
      <w:pPr>
        <w:pStyle w:val="Compact"/>
        <w:numPr>
          <w:ilvl w:val="0"/>
          <w:numId w:val="177"/>
        </w:numPr>
        <w:rPr/>
      </w:pPr>
      <w:r>
        <w:rPr/>
        <w:t xml:space="preserve">☐ </w:t>
      </w:r>
      <w:r>
        <w:rPr/>
        <w:t>3. Vérifier / mettre à jour les cours (modules) et les rattacher aux classes</w:t>
      </w:r>
    </w:p>
    <w:p>
      <w:pPr>
        <w:pStyle w:val="Compact"/>
        <w:numPr>
          <w:ilvl w:val="0"/>
          <w:numId w:val="178"/>
        </w:numPr>
        <w:rPr/>
      </w:pPr>
      <w:r>
        <w:rPr/>
        <w:t xml:space="preserve">☐ </w:t>
      </w:r>
      <w:r>
        <w:rPr/>
        <w:t>4. Configurer les frais et échéanciers de chaque classe</w:t>
      </w:r>
    </w:p>
    <w:p>
      <w:pPr>
        <w:pStyle w:val="Compact"/>
        <w:numPr>
          <w:ilvl w:val="0"/>
          <w:numId w:val="179"/>
        </w:numPr>
        <w:rPr/>
      </w:pPr>
      <w:r>
        <w:rPr/>
        <w:t xml:space="preserve">☐ </w:t>
      </w:r>
      <w:r>
        <w:rPr/>
        <w:t>5. Créer les codes de bourse éventuels</w:t>
      </w:r>
    </w:p>
    <w:p>
      <w:pPr>
        <w:pStyle w:val="Compact"/>
        <w:numPr>
          <w:ilvl w:val="0"/>
          <w:numId w:val="180"/>
        </w:numPr>
        <w:rPr/>
      </w:pPr>
      <w:r>
        <w:rPr/>
        <w:t xml:space="preserve">☐ </w:t>
      </w:r>
      <w:r>
        <w:rPr/>
        <w:t>6. Vérifier les coordonnateurs de filière</w:t>
      </w:r>
    </w:p>
    <w:p>
      <w:pPr>
        <w:pStyle w:val="Compact"/>
        <w:numPr>
          <w:ilvl w:val="0"/>
          <w:numId w:val="181"/>
        </w:numPr>
        <w:rPr/>
      </w:pPr>
      <w:r>
        <w:rPr/>
        <w:t xml:space="preserve">☐ </w:t>
      </w:r>
      <w:r>
        <w:rPr/>
        <w:t>7. Saisir l’emploi du temps</w:t>
      </w:r>
    </w:p>
    <w:p>
      <w:pPr>
        <w:pStyle w:val="Compact"/>
        <w:numPr>
          <w:ilvl w:val="0"/>
          <w:numId w:val="182"/>
        </w:numPr>
        <w:rPr/>
      </w:pPr>
      <w:r>
        <w:rPr/>
        <w:t xml:space="preserve">☐ </w:t>
      </w:r>
      <w:r>
        <w:rPr/>
        <w:t>8. Réinscrire les anciens étudiants et traiter les préinscriptions</w:t>
      </w:r>
      <w:bookmarkEnd w:id="42"/>
    </w:p>
    <w:p>
      <w:pPr>
        <w:pStyle w:val="Heading3"/>
        <w:rPr/>
      </w:pPr>
      <w:bookmarkStart w:id="43" w:name="créer-lannée-académique"/>
      <w:bookmarkEnd w:id="43"/>
      <w:r>
        <w:rPr/>
        <w:t>1. Créer l’année académique</w:t>
      </w:r>
    </w:p>
    <w:p>
      <w:pPr>
        <w:pStyle w:val="Compact"/>
        <w:numPr>
          <w:ilvl w:val="0"/>
          <w:numId w:val="183"/>
        </w:numPr>
        <w:rPr/>
      </w:pPr>
      <w:r>
        <w:rPr/>
        <w:t xml:space="preserve">Menu </w:t>
      </w:r>
      <w:r>
        <w:rPr>
          <w:b/>
          <w:bCs/>
        </w:rPr>
        <w:t>Pédagogie</w:t>
      </w:r>
      <w:r>
        <w:rPr/>
        <w:t xml:space="preserve"> → </w:t>
      </w:r>
      <w:r>
        <w:rPr>
          <w:b/>
          <w:bCs/>
        </w:rPr>
        <w:t>Structure Académique</w:t>
      </w:r>
      <w:r>
        <w:rPr/>
        <w:t xml:space="preserve">, onglet </w:t>
      </w:r>
      <w:r>
        <w:rPr>
          <w:i/>
          <w:iCs/>
        </w:rPr>
        <w:t>Années Académiques</w:t>
      </w:r>
      <w:r>
        <w:rPr/>
        <w:t>.</w:t>
      </w:r>
    </w:p>
    <w:p>
      <w:pPr>
        <w:pStyle w:val="Compact"/>
        <w:numPr>
          <w:ilvl w:val="0"/>
          <w:numId w:val="184"/>
        </w:numPr>
        <w:rPr/>
      </w:pPr>
      <w:r>
        <w:rPr/>
        <w:t xml:space="preserve">Cliquez sur </w:t>
      </w:r>
      <w:r>
        <w:rPr>
          <w:b/>
          <w:bCs/>
        </w:rPr>
        <w:t>Ajouter</w:t>
      </w:r>
      <w:r>
        <w:rPr/>
        <w:t>.</w:t>
      </w:r>
    </w:p>
    <w:p>
      <w:pPr>
        <w:pStyle w:val="Compact"/>
        <w:numPr>
          <w:ilvl w:val="0"/>
          <w:numId w:val="185"/>
        </w:numPr>
        <w:rPr/>
      </w:pPr>
      <w:r>
        <w:rPr/>
        <w:t>Remplissez :</w:t>
      </w:r>
    </w:p>
    <w:p>
      <w:pPr>
        <w:pStyle w:val="Compact"/>
        <w:numPr>
          <w:ilvl w:val="1"/>
          <w:numId w:val="186"/>
        </w:numPr>
        <w:rPr/>
      </w:pPr>
      <w:r>
        <w:rPr/>
        <w:t xml:space="preserve">« Libellé (ex: 2024-2025) » : </w:t>
      </w:r>
      <w:r>
        <w:rPr>
          <w:rStyle w:val="VerbatimChar"/>
        </w:rPr>
        <w:t>2026-2027</w:t>
      </w:r>
      <w:r>
        <w:rPr/>
        <w:t xml:space="preserve"> (format </w:t>
      </w:r>
      <w:r>
        <w:rPr>
          <w:rStyle w:val="VerbatimChar"/>
        </w:rPr>
        <w:t>AAAA-AAAA</w:t>
      </w:r>
      <w:r>
        <w:rPr/>
        <w:t>) ;</w:t>
      </w:r>
    </w:p>
    <w:p>
      <w:pPr>
        <w:pStyle w:val="Compact"/>
        <w:numPr>
          <w:ilvl w:val="1"/>
          <w:numId w:val="187"/>
        </w:numPr>
        <w:rPr/>
      </w:pPr>
      <w:r>
        <w:rPr/>
        <w:t>« Date Début » et « Date Fin » ;</w:t>
      </w:r>
    </w:p>
    <w:p>
      <w:pPr>
        <w:pStyle w:val="Compact"/>
        <w:numPr>
          <w:ilvl w:val="1"/>
          <w:numId w:val="188"/>
        </w:numPr>
        <w:rPr/>
      </w:pPr>
      <w:r>
        <w:rPr/>
        <w:t xml:space="preserve">cochez </w:t>
      </w:r>
      <w:r>
        <w:rPr>
          <w:b/>
          <w:bCs/>
        </w:rPr>
        <w:t>Est Active</w:t>
      </w:r>
      <w:r>
        <w:rPr/>
        <w:t xml:space="preserve"> si l’année commence maintenant.</w:t>
      </w:r>
    </w:p>
    <w:p>
      <w:pPr>
        <w:pStyle w:val="Compact"/>
        <w:numPr>
          <w:ilvl w:val="0"/>
          <w:numId w:val="189"/>
        </w:numPr>
        <w:rPr/>
      </w:pPr>
      <w:r>
        <w:rPr/>
        <w:t xml:space="preserve">Cliquez sur </w:t>
      </w:r>
      <w:r>
        <w:rPr>
          <w:b/>
          <w:bCs/>
        </w:rPr>
        <w:t>Enregistrer</w:t>
      </w:r>
      <w:r>
        <w:rPr/>
        <w:t>.</w:t>
      </w:r>
    </w:p>
    <w:p>
      <w:pPr>
        <w:pStyle w:val="FirstParagraph"/>
        <w:rPr/>
      </w:pPr>
      <w:r>
        <w:rPr/>
        <w:t>Ce qui se passe automatiquement :</w:t>
      </w:r>
    </w:p>
    <w:p>
      <w:pPr>
        <w:pStyle w:val="Compact"/>
        <w:numPr>
          <w:ilvl w:val="0"/>
          <w:numId w:val="190"/>
        </w:numPr>
        <w:rPr/>
      </w:pPr>
      <w:r>
        <w:rPr>
          <w:b/>
          <w:bCs/>
        </w:rPr>
        <w:t>Une seule année peut être active</w:t>
      </w:r>
      <w:r>
        <w:rPr/>
        <w:t xml:space="preserve"> : cocher « Est Active » désactive l’ancienne année, qui devient une archive.</w:t>
      </w:r>
    </w:p>
    <w:p>
      <w:pPr>
        <w:pStyle w:val="Compact"/>
        <w:numPr>
          <w:ilvl w:val="0"/>
          <w:numId w:val="191"/>
        </w:numPr>
        <w:rPr/>
      </w:pPr>
      <w:r>
        <w:rPr/>
        <w:t xml:space="preserve">Les </w:t>
      </w:r>
      <w:r>
        <w:rPr>
          <w:b/>
          <w:bCs/>
        </w:rPr>
        <w:t>classes de l’année précédente sont recopiées</w:t>
      </w:r>
      <w:r>
        <w:rPr/>
        <w:t xml:space="preserve"> pour la nouvelle année (même filière, spécialité, cycle et niveau). Les étudiants, notes et paiements, eux, restent rattachés à l’ancienne année.</w:t>
      </w:r>
    </w:p>
    <w:p>
      <w:pPr>
        <w:pStyle w:val="EncadreAttention"/>
        <w:rPr/>
      </w:pPr>
      <w:r>
        <w:rPr>
          <w:b/>
          <w:bCs/>
        </w:rPr>
        <w:t>Après le changement d’année</w:t>
      </w:r>
    </w:p>
    <w:p>
      <w:pPr>
        <w:pStyle w:val="EncadreAttention"/>
        <w:rPr/>
      </w:pPr>
      <w:r>
        <w:rPr/>
        <w:t xml:space="preserve">Demandez à chacun de recharger la page et de vérifier que le sélecteur en haut affiche bien la nouvelle année </w:t>
      </w:r>
      <w:r>
        <w:rPr>
          <w:i/>
          <w:iCs/>
        </w:rPr>
        <w:t>(Active)</w:t>
      </w:r>
      <w:r>
        <w:rPr/>
        <w:t>. Les anciennes années ne sont plus accessibles qu’au super-administrateur.</w:t>
      </w:r>
    </w:p>
    <w:p>
      <w:pPr>
        <w:pStyle w:val="Normal"/>
        <w:spacing w:before="0" w:after="60"/>
        <w:rPr>
          <w:sz w:val="8"/>
        </w:rPr>
      </w:pPr>
      <w:r>
        <w:rPr>
          <w:sz w:val="8"/>
        </w:rPr>
      </w:r>
      <w:bookmarkStart w:id="44" w:name="créer-lannée-académique"/>
      <w:bookmarkStart w:id="45" w:name="créer-lannée-académique"/>
      <w:bookmarkEnd w:id="45"/>
    </w:p>
    <w:p>
      <w:pPr>
        <w:pStyle w:val="Heading3"/>
        <w:rPr/>
      </w:pPr>
      <w:bookmarkStart w:id="46" w:name="vérifier-les-classes"/>
      <w:r>
        <w:rPr/>
        <w:t>2. Vérifier les classes</w:t>
      </w:r>
    </w:p>
    <w:p>
      <w:pPr>
        <w:pStyle w:val="FirstParagraph"/>
        <w:rPr/>
      </w:pPr>
      <w:r>
        <w:rPr/>
        <w:t xml:space="preserve">Onglet </w:t>
      </w:r>
      <w:r>
        <w:rPr>
          <w:i/>
          <w:iCs/>
        </w:rPr>
        <w:t>Classes</w:t>
      </w:r>
      <w:r>
        <w:rPr/>
        <w:t xml:space="preserve"> de la Structure Académique : chaque classe de la nouvelle année doit apparaître. Ajoutez celles qui manquent (nouvelle filière, nouveau niveau…). Voir Structure académique.</w:t>
      </w:r>
      <w:bookmarkEnd w:id="46"/>
    </w:p>
    <w:p>
      <w:pPr>
        <w:pStyle w:val="Heading3"/>
        <w:rPr/>
      </w:pPr>
      <w:bookmarkStart w:id="47" w:name="les-cours"/>
      <w:r>
        <w:rPr/>
        <w:t>3. Les cours</w:t>
      </w:r>
    </w:p>
    <w:p>
      <w:pPr>
        <w:pStyle w:val="FirstParagraph"/>
        <w:rPr/>
      </w:pPr>
      <w:r>
        <w:rPr/>
        <w:t xml:space="preserve">Menu </w:t>
      </w:r>
      <w:r>
        <w:rPr>
          <w:b/>
          <w:bCs/>
        </w:rPr>
        <w:t>Pédagogie</w:t>
      </w:r>
      <w:r>
        <w:rPr/>
        <w:t xml:space="preserve"> → </w:t>
      </w:r>
      <w:r>
        <w:rPr>
          <w:b/>
          <w:bCs/>
        </w:rPr>
        <w:t>Cours</w:t>
      </w:r>
      <w:r>
        <w:rPr/>
        <w:t xml:space="preserve"> : vérifiez que chaque cours est rattaché aux classes de la nouvelle année (« Classes rattachées »), avec le bon « Coefficient » et le bon « Semestre ». Voir Cours et modules.</w:t>
      </w:r>
      <w:bookmarkEnd w:id="47"/>
    </w:p>
    <w:p>
      <w:pPr>
        <w:pStyle w:val="Heading3"/>
        <w:rPr/>
      </w:pPr>
      <w:bookmarkStart w:id="48" w:name="les-frais"/>
      <w:r>
        <w:rPr/>
        <w:t>4. Les frais</w:t>
      </w:r>
    </w:p>
    <w:p>
      <w:pPr>
        <w:pStyle w:val="FirstParagraph"/>
        <w:rPr/>
      </w:pPr>
      <w:r>
        <w:rPr/>
        <w:t xml:space="preserve">Menu </w:t>
      </w:r>
      <w:r>
        <w:rPr>
          <w:b/>
          <w:bCs/>
        </w:rPr>
        <w:t>Finances</w:t>
      </w:r>
      <w:r>
        <w:rPr/>
        <w:t xml:space="preserve"> → </w:t>
      </w:r>
      <w:r>
        <w:rPr>
          <w:b/>
          <w:bCs/>
        </w:rPr>
        <w:t>Scolarité</w:t>
      </w:r>
      <w:r>
        <w:rPr/>
        <w:t xml:space="preserve">, onglet </w:t>
      </w:r>
      <w:r>
        <w:rPr>
          <w:i/>
          <w:iCs/>
        </w:rPr>
        <w:t>Configuration des Frais</w:t>
      </w:r>
      <w:r>
        <w:rPr/>
        <w:t xml:space="preserve">, bouton </w:t>
      </w:r>
      <w:r>
        <w:rPr>
          <w:b/>
          <w:bCs/>
        </w:rPr>
        <w:t>Config. Rapide</w:t>
      </w:r>
      <w:r>
        <w:rPr/>
        <w:t xml:space="preserve"> pour chaque classe : frais d’inscription, total de la scolarité et tranches avec dates d’échéance. Voir Scolarité.</w:t>
      </w:r>
      <w:bookmarkEnd w:id="48"/>
    </w:p>
    <w:p>
      <w:pPr>
        <w:pStyle w:val="Heading3"/>
        <w:rPr/>
      </w:pPr>
      <w:bookmarkStart w:id="49" w:name="les-bourses"/>
      <w:r>
        <w:rPr/>
        <w:t>5. Les bourses</w:t>
      </w:r>
    </w:p>
    <w:p>
      <w:pPr>
        <w:pStyle w:val="FirstParagraph"/>
        <w:rPr/>
      </w:pPr>
      <w:r>
        <w:rPr/>
        <w:t xml:space="preserve">Onglet </w:t>
      </w:r>
      <w:r>
        <w:rPr>
          <w:i/>
          <w:iCs/>
        </w:rPr>
        <w:t>Gestion des Bourses</w:t>
      </w:r>
      <w:r>
        <w:rPr/>
        <w:t xml:space="preserve"> → </w:t>
      </w:r>
      <w:r>
        <w:rPr>
          <w:b/>
          <w:bCs/>
        </w:rPr>
        <w:t>Créer une Bourse</w:t>
      </w:r>
      <w:r>
        <w:rPr/>
        <w:t xml:space="preserve"> pour chaque bourse accordée. Le code sera saisi lors de l’approbation de la préinscription du bénéficiaire.</w:t>
      </w:r>
      <w:bookmarkEnd w:id="49"/>
    </w:p>
    <w:p>
      <w:pPr>
        <w:pStyle w:val="Heading3"/>
        <w:rPr/>
      </w:pPr>
      <w:bookmarkStart w:id="50" w:name="les-coordonnateurs"/>
      <w:r>
        <w:rPr/>
        <w:t>6. Les coordonnateurs</w:t>
      </w:r>
    </w:p>
    <w:p>
      <w:pPr>
        <w:pStyle w:val="FirstParagraph"/>
        <w:rPr/>
      </w:pPr>
      <w:r>
        <w:rPr/>
        <w:t xml:space="preserve">Menu </w:t>
      </w:r>
      <w:r>
        <w:rPr>
          <w:b/>
          <w:bCs/>
        </w:rPr>
        <w:t>Pédagogie</w:t>
      </w:r>
      <w:r>
        <w:rPr/>
        <w:t xml:space="preserve"> → </w:t>
      </w:r>
      <w:r>
        <w:rPr>
          <w:b/>
          <w:bCs/>
        </w:rPr>
        <w:t>Coordonnateurs</w:t>
      </w:r>
      <w:r>
        <w:rPr/>
        <w:t xml:space="preserve"> : le message « Filière(s) sans coordonnateur actif » liste les filières à pourvoir. Voir Coordonnateurs.</w:t>
      </w:r>
      <w:bookmarkEnd w:id="50"/>
    </w:p>
    <w:p>
      <w:pPr>
        <w:pStyle w:val="Heading3"/>
        <w:rPr/>
      </w:pPr>
      <w:bookmarkStart w:id="51" w:name="lemploi-du-temps"/>
      <w:r>
        <w:rPr/>
        <w:t>7. L’emploi du temps</w:t>
      </w:r>
    </w:p>
    <w:p>
      <w:pPr>
        <w:pStyle w:val="FirstParagraph"/>
        <w:rPr/>
      </w:pPr>
      <w:r>
        <w:rPr/>
        <w:t xml:space="preserve">Menu </w:t>
      </w:r>
      <w:r>
        <w:rPr>
          <w:b/>
          <w:bCs/>
        </w:rPr>
        <w:t>Pédagogie</w:t>
      </w:r>
      <w:r>
        <w:rPr/>
        <w:t xml:space="preserve"> → </w:t>
      </w:r>
      <w:r>
        <w:rPr>
          <w:b/>
          <w:bCs/>
        </w:rPr>
        <w:t>Emploi du temps</w:t>
      </w:r>
      <w:r>
        <w:rPr/>
        <w:t xml:space="preserve"> → </w:t>
      </w:r>
      <w:r>
        <w:rPr>
          <w:b/>
          <w:bCs/>
        </w:rPr>
        <w:t>Nouveau Créneau</w:t>
      </w:r>
      <w:r>
        <w:rPr/>
        <w:t>. Voir Emploi du temps. L’emploi du temps sert aussi au pointage des heures des vacataires : il doit être à jour.</w:t>
      </w:r>
      <w:bookmarkEnd w:id="51"/>
    </w:p>
    <w:p>
      <w:pPr>
        <w:pStyle w:val="Heading3"/>
        <w:rPr/>
      </w:pPr>
      <w:bookmarkStart w:id="52" w:name="les-étudiants"/>
      <w:r>
        <w:rPr/>
        <w:t>8. Les étudiants</w:t>
      </w:r>
    </w:p>
    <w:p>
      <w:pPr>
        <w:pStyle w:val="Compact"/>
        <w:numPr>
          <w:ilvl w:val="0"/>
          <w:numId w:val="192"/>
        </w:numPr>
        <w:rPr/>
      </w:pPr>
      <w:r>
        <w:rPr>
          <w:b/>
          <w:bCs/>
        </w:rPr>
        <w:t>Nouveaux étudiants</w:t>
      </w:r>
      <w:r>
        <w:rPr/>
        <w:t xml:space="preserve"> : traitez les préinscriptions (</w:t>
      </w:r>
      <w:r>
        <w:rPr>
          <w:b/>
          <w:bCs/>
        </w:rPr>
        <w:t>Finances</w:t>
      </w:r>
      <w:r>
        <w:rPr/>
        <w:t xml:space="preserve"> → </w:t>
      </w:r>
      <w:r>
        <w:rPr>
          <w:b/>
          <w:bCs/>
        </w:rPr>
        <w:t>Préinscriptions</w:t>
      </w:r>
      <w:r>
        <w:rPr/>
        <w:t>).</w:t>
      </w:r>
    </w:p>
    <w:p>
      <w:pPr>
        <w:pStyle w:val="Compact"/>
        <w:numPr>
          <w:ilvl w:val="0"/>
          <w:numId w:val="193"/>
        </w:numPr>
        <w:rPr/>
      </w:pPr>
      <w:r>
        <w:rPr>
          <w:b/>
          <w:bCs/>
        </w:rPr>
        <w:t>Anciens étudiants</w:t>
      </w:r>
      <w:r>
        <w:rPr/>
        <w:t xml:space="preserve"> passant en année supérieure : </w:t>
      </w:r>
      <w:r>
        <w:rPr>
          <w:b/>
          <w:bCs/>
        </w:rPr>
        <w:t>Finances</w:t>
      </w:r>
      <w:r>
        <w:rPr/>
        <w:t xml:space="preserve"> → </w:t>
      </w:r>
      <w:r>
        <w:rPr>
          <w:b/>
          <w:bCs/>
        </w:rPr>
        <w:t>Scolarité</w:t>
      </w:r>
      <w:r>
        <w:rPr/>
        <w:t xml:space="preserve"> → </w:t>
      </w:r>
      <w:r>
        <w:rPr>
          <w:b/>
          <w:bCs/>
        </w:rPr>
        <w:t>Nouvelle inscription</w:t>
      </w:r>
      <w:r>
        <w:rPr/>
        <w:t xml:space="preserve"> (fenêtre « Créer une inscription » : Étudiant, Niveau, Année académique). Voir Scolarité.</w:t>
      </w:r>
      <w:bookmarkEnd w:id="41"/>
      <w:bookmarkEnd w:id="52"/>
    </w:p>
    <w:p>
      <w:pPr>
        <w:pStyle w:val="Heading2"/>
        <w:rPr/>
      </w:pPr>
      <w:bookmarkStart w:id="53" w:name="__RefHeading___Toc15146_1458957718"/>
      <w:bookmarkEnd w:id="53"/>
      <w:r>
        <w:rPr/>
        <w:t>Préinscription en ligne (candidats)</w:t>
      </w:r>
    </w:p>
    <w:p>
      <w:pPr>
        <w:pStyle w:val="FirstParagraph"/>
        <w:rPr/>
      </w:pPr>
      <w:r>
        <w:rPr/>
        <w:t xml:space="preserve">Cette page s’adresse aux </w:t>
      </w:r>
      <w:r>
        <w:rPr>
          <w:b/>
          <w:bCs/>
        </w:rPr>
        <w:t>futurs étudiants</w:t>
      </w:r>
      <w:r>
        <w:rPr/>
        <w:t xml:space="preserve"> (ou à leurs parents). Elle ne nécessite </w:t>
      </w:r>
      <w:r>
        <w:rPr>
          <w:b/>
          <w:bCs/>
        </w:rPr>
        <w:t>aucun compte</w:t>
      </w:r>
      <w:r>
        <w:rPr/>
        <w:t>.</w:t>
      </w:r>
    </w:p>
    <w:p>
      <w:pPr>
        <w:pStyle w:val="Heading3"/>
        <w:rPr/>
      </w:pPr>
      <w:bookmarkStart w:id="54" w:name="accéder-au-formulaire"/>
      <w:r>
        <w:rPr/>
        <w:t>Accéder au formulaire</w:t>
      </w:r>
    </w:p>
    <w:p>
      <w:pPr>
        <w:pStyle w:val="Compact"/>
        <w:numPr>
          <w:ilvl w:val="0"/>
          <w:numId w:val="194"/>
        </w:numPr>
        <w:rPr/>
      </w:pPr>
      <w:r>
        <w:rPr/>
        <w:t xml:space="preserve">Ouvrez l’adresse de la plateforme (par exemple </w:t>
      </w:r>
      <w:r>
        <w:rPr>
          <w:rStyle w:val="VerbatimChar"/>
        </w:rPr>
        <w:t>https://istc.tenteeglobal.com</w:t>
      </w:r>
      <w:r>
        <w:rPr/>
        <w:t>).</w:t>
      </w:r>
    </w:p>
    <w:p>
      <w:pPr>
        <w:pStyle w:val="Compact"/>
        <w:numPr>
          <w:ilvl w:val="0"/>
          <w:numId w:val="195"/>
        </w:numPr>
        <w:rPr/>
      </w:pPr>
      <w:r>
        <w:rPr/>
        <w:t xml:space="preserve">Sur la page de connexion, cliquez sur le bouton </w:t>
      </w:r>
      <w:r>
        <w:rPr>
          <w:b/>
          <w:bCs/>
        </w:rPr>
        <w:t>Préinscription en ligne</w:t>
      </w:r>
      <w:r>
        <w:rPr/>
        <w:t>.</w:t>
      </w:r>
    </w:p>
    <w:p>
      <w:pPr>
        <w:pStyle w:val="Compact"/>
        <w:numPr>
          <w:ilvl w:val="0"/>
          <w:numId w:val="196"/>
        </w:numPr>
        <w:rPr/>
      </w:pPr>
      <w:r>
        <w:rPr/>
        <w:t xml:space="preserve">Le formulaire « Préinscription en ligne » s’ouvre. Il comporte </w:t>
      </w:r>
      <w:r>
        <w:rPr>
          <w:b/>
          <w:bCs/>
        </w:rPr>
        <w:t>deux étapes</w:t>
      </w:r>
      <w:r>
        <w:rPr/>
        <w:t xml:space="preserve"> : </w:t>
      </w:r>
      <w:r>
        <w:rPr>
          <w:i/>
          <w:iCs/>
        </w:rPr>
        <w:t>Informations</w:t>
      </w:r>
      <w:r>
        <w:rPr/>
        <w:t xml:space="preserve"> puis </w:t>
      </w:r>
      <w:r>
        <w:rPr>
          <w:i/>
          <w:iCs/>
        </w:rPr>
        <w:t>Documents</w:t>
      </w:r>
      <w:r>
        <w:rPr/>
        <w:t>.</w:t>
      </w:r>
      <w:bookmarkEnd w:id="54"/>
    </w:p>
    <w:p>
      <w:pPr>
        <w:pStyle w:val="Heading3"/>
        <w:rPr/>
      </w:pPr>
      <w:bookmarkStart w:id="55" w:name="étape-1-informations"/>
      <w:r>
        <w:rPr/>
        <w:t>Étape 1 — Informations</w:t>
      </w:r>
    </w:p>
    <w:p>
      <w:pPr>
        <w:pStyle w:val="Normal"/>
        <w:jc w:val="center"/>
        <w:rPr/>
      </w:pPr>
      <w:r>
        <w:rPr/>
        <w:drawing>
          <wp:inline distT="0" distB="0" distL="0" distR="0">
            <wp:extent cx="5334000" cy="3333750"/>
            <wp:effectExtent l="0" t="0" r="0" b="0"/>
            <wp:docPr id="8" name="Image8" descr="Étape 1 du formulaire : identité du candid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Étape 1 du formulaire : identité du candidat"/>
                    <pic:cNvPicPr>
                      <a:picLocks noChangeAspect="1" noChangeArrowheads="1"/>
                    </pic:cNvPicPr>
                  </pic:nvPicPr>
                  <pic:blipFill>
                    <a:blip r:embed="rId9"/>
                    <a:stretch>
                      <a:fillRect/>
                    </a:stretch>
                  </pic:blipFill>
                  <pic:spPr bwMode="auto">
                    <a:xfrm>
                      <a:off x="0" y="0"/>
                      <a:ext cx="5334000" cy="3333750"/>
                    </a:xfrm>
                    <a:prstGeom prst="rect">
                      <a:avLst/>
                    </a:prstGeom>
                  </pic:spPr>
                </pic:pic>
              </a:graphicData>
            </a:graphic>
          </wp:inline>
        </w:drawing>
      </w:r>
    </w:p>
    <w:p>
      <w:pPr>
        <w:pStyle w:val="ImageCaption"/>
        <w:rPr/>
      </w:pPr>
      <w:r>
        <w:rPr/>
        <w:t>Étape 1 du formulaire : identité du candidat</w:t>
      </w:r>
    </w:p>
    <w:p>
      <w:pPr>
        <w:pStyle w:val="Normal"/>
        <w:jc w:val="center"/>
        <w:rPr/>
      </w:pPr>
      <w:r>
        <w:rPr/>
        <w:drawing>
          <wp:inline distT="0" distB="0" distL="0" distR="0">
            <wp:extent cx="5334000" cy="3333750"/>
            <wp:effectExtent l="0" t="0" r="0" b="0"/>
            <wp:docPr id="9" name="Image9" descr="Étape 1 (suite) : parents et formation souhait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Étape 1 (suite) : parents et formation souhaitée"/>
                    <pic:cNvPicPr>
                      <a:picLocks noChangeAspect="1" noChangeArrowheads="1"/>
                    </pic:cNvPicPr>
                  </pic:nvPicPr>
                  <pic:blipFill>
                    <a:blip r:embed="rId10"/>
                    <a:stretch>
                      <a:fillRect/>
                    </a:stretch>
                  </pic:blipFill>
                  <pic:spPr bwMode="auto">
                    <a:xfrm>
                      <a:off x="0" y="0"/>
                      <a:ext cx="5334000" cy="3333750"/>
                    </a:xfrm>
                    <a:prstGeom prst="rect">
                      <a:avLst/>
                    </a:prstGeom>
                  </pic:spPr>
                </pic:pic>
              </a:graphicData>
            </a:graphic>
          </wp:inline>
        </w:drawing>
      </w:r>
    </w:p>
    <w:p>
      <w:pPr>
        <w:pStyle w:val="ImageCaption"/>
        <w:rPr/>
      </w:pPr>
      <w:r>
        <w:rPr/>
        <w:t>Étape 1 (suite) : parents et formation souhaitée</w:t>
      </w:r>
    </w:p>
    <w:p>
      <w:pPr>
        <w:pStyle w:val="BodyText"/>
        <w:rPr/>
      </w:pPr>
      <w:r>
        <w:rPr/>
        <w:t xml:space="preserve">Remplissez les champs. Ceux marqués d’un astérisque </w:t>
      </w:r>
      <w:r>
        <w:rPr>
          <w:rStyle w:val="VerbatimChar"/>
        </w:rPr>
        <w:t>*</w:t>
      </w:r>
      <w:r>
        <w:rPr/>
        <w:t xml:space="preserve"> sont obligatoires.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618"/>
        <w:gridCol w:w="2960"/>
        <w:gridCol w:w="4060"/>
      </w:tblGrid>
      <w:tr>
        <w:trPr>
          <w:tblHeader w:val="true"/>
          <w:cantSplit w:val="true"/>
        </w:trPr>
        <w:tc>
          <w:tcPr>
            <w:tcW w:w="261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296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c>
          <w:tcPr>
            <w:tcW w:w="406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Conseil</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NGONO</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Comme sur l’acte de naissance.</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Prénom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Alice</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Date de naissance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12/04/2005</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Utilisez le calendrier.</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Email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alice@exemple.cm</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Une adresse que vous consultez : l’établissement vous contactera par ce biais.</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Indicatif</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Cameroun (+237)</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Choisissez votre pays : la liste est réglée par défaut sur un autre pays.</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Numéro de téléphone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699112233</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Sans l’indicatif ni espaces.</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du parent 1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NGONO Paul</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Parent ou tuteur.</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WhatsApp / Contact Parent 1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677000000</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Numéro WhatsApp de préférence (l’établissement peut y envoyer des notifications d’absence).</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Lien de parenté 1</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Père</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du second parent, WhatsApp / Contact Parent 2, Lien de parenté 2</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Facultatif.</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Filière souhaitée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Génie Informatique</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liste propose les filières ouvertes.</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Spécialité souhaitée</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Développement Web</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Selon la filière.</w:t>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Cycle souhaité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Licence</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2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Classe souhaitée *</w:t>
            </w:r>
          </w:p>
        </w:tc>
        <w:tc>
          <w:tcPr>
            <w:tcW w:w="29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Développement Web Licence 1</w:t>
            </w:r>
          </w:p>
        </w:tc>
        <w:tc>
          <w:tcPr>
            <w:tcW w:w="406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bl>
    <w:p>
      <w:pPr>
        <w:pStyle w:val="BodyText"/>
        <w:rPr/>
      </w:pPr>
      <w:r>
        <w:rPr/>
        <w:t xml:space="preserve">Cliquez sur </w:t>
      </w:r>
      <w:r>
        <w:rPr>
          <w:b/>
          <w:bCs/>
        </w:rPr>
        <w:t>Suivant</w:t>
      </w:r>
      <w:r>
        <w:rPr/>
        <w:t>.</w:t>
      </w:r>
      <w:bookmarkEnd w:id="55"/>
    </w:p>
    <w:p>
      <w:pPr>
        <w:pStyle w:val="Heading3"/>
        <w:rPr/>
      </w:pPr>
      <w:bookmarkStart w:id="56" w:name="étape-2-documents"/>
      <w:r>
        <w:rPr/>
        <w:t>Étape 2 — Documents</w:t>
      </w:r>
    </w:p>
    <w:p>
      <w:pPr>
        <w:pStyle w:val="Normal"/>
        <w:jc w:val="center"/>
        <w:rPr/>
      </w:pPr>
      <w:r>
        <w:rPr/>
        <w:drawing>
          <wp:inline distT="0" distB="0" distL="0" distR="0">
            <wp:extent cx="5334000" cy="3333750"/>
            <wp:effectExtent l="0" t="0" r="0" b="0"/>
            <wp:docPr id="10" name="Image10" descr="Étape 2 : les documents à joindre (facultati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Étape 2 : les documents à joindre (facultatifs)"/>
                    <pic:cNvPicPr>
                      <a:picLocks noChangeAspect="1" noChangeArrowheads="1"/>
                    </pic:cNvPicPr>
                  </pic:nvPicPr>
                  <pic:blipFill>
                    <a:blip r:embed="rId11"/>
                    <a:stretch>
                      <a:fillRect/>
                    </a:stretch>
                  </pic:blipFill>
                  <pic:spPr bwMode="auto">
                    <a:xfrm>
                      <a:off x="0" y="0"/>
                      <a:ext cx="5334000" cy="3333750"/>
                    </a:xfrm>
                    <a:prstGeom prst="rect">
                      <a:avLst/>
                    </a:prstGeom>
                  </pic:spPr>
                </pic:pic>
              </a:graphicData>
            </a:graphic>
          </wp:inline>
        </w:drawing>
      </w:r>
    </w:p>
    <w:p>
      <w:pPr>
        <w:pStyle w:val="ImageCaption"/>
        <w:rPr/>
      </w:pPr>
      <w:r>
        <w:rPr/>
        <w:t>Étape 2 : les documents à joindre (facultatifs)</w:t>
      </w:r>
    </w:p>
    <w:p>
      <w:pPr>
        <w:pStyle w:val="BodyText"/>
        <w:rPr/>
      </w:pPr>
      <w:r>
        <w:rPr/>
        <w:t>Vous pouvez joindre :</w:t>
      </w:r>
    </w:p>
    <w:p>
      <w:pPr>
        <w:pStyle w:val="Compact"/>
        <w:numPr>
          <w:ilvl w:val="0"/>
          <w:numId w:val="197"/>
        </w:numPr>
        <w:rPr/>
      </w:pPr>
      <w:r>
        <w:rPr/>
        <w:t>le dernier bulletin ;</w:t>
      </w:r>
    </w:p>
    <w:p>
      <w:pPr>
        <w:pStyle w:val="Compact"/>
        <w:numPr>
          <w:ilvl w:val="0"/>
          <w:numId w:val="198"/>
        </w:numPr>
        <w:rPr/>
      </w:pPr>
      <w:r>
        <w:rPr/>
        <w:t>une photo d’identité ;</w:t>
      </w:r>
    </w:p>
    <w:p>
      <w:pPr>
        <w:pStyle w:val="Compact"/>
        <w:numPr>
          <w:ilvl w:val="0"/>
          <w:numId w:val="199"/>
        </w:numPr>
        <w:rPr/>
      </w:pPr>
      <w:r>
        <w:rPr/>
        <w:t>l’acte de naissance ;</w:t>
      </w:r>
    </w:p>
    <w:p>
      <w:pPr>
        <w:pStyle w:val="Compact"/>
        <w:numPr>
          <w:ilvl w:val="0"/>
          <w:numId w:val="200"/>
        </w:numPr>
        <w:rPr/>
      </w:pPr>
      <w:r>
        <w:rPr/>
        <w:t>la CNI ou le passeport ;</w:t>
      </w:r>
    </w:p>
    <w:p>
      <w:pPr>
        <w:pStyle w:val="Compact"/>
        <w:numPr>
          <w:ilvl w:val="0"/>
          <w:numId w:val="201"/>
        </w:numPr>
        <w:rPr/>
      </w:pPr>
      <w:r>
        <w:rPr/>
        <w:t>les diplômes précédents (plusieurs fichiers possibles).</w:t>
      </w:r>
    </w:p>
    <w:p>
      <w:pPr>
        <w:pStyle w:val="FirstParagraph"/>
        <w:rPr/>
      </w:pPr>
      <w:r>
        <w:rPr/>
        <w:t>Cliquez sur chaque zone pour choisir le fichier sur votre ordinateur ou téléphone.</w:t>
      </w:r>
    </w:p>
    <w:p>
      <w:pPr>
        <w:pStyle w:val="EncadreInfo"/>
        <w:rPr/>
      </w:pPr>
      <w:r>
        <w:rPr>
          <w:b/>
          <w:bCs/>
        </w:rPr>
        <w:t>Les documents sont facultatifs</w:t>
      </w:r>
    </w:p>
    <w:p>
      <w:pPr>
        <w:pStyle w:val="EncadreInfo"/>
        <w:rPr/>
      </w:pPr>
      <w:r>
        <w:rPr/>
        <w:t xml:space="preserve">Ils pourront être transmis plus tard, lors de l’inscription définitive. Formats acceptés : </w:t>
      </w:r>
      <w:r>
        <w:rPr>
          <w:b/>
          <w:bCs/>
        </w:rPr>
        <w:t>PDF, JPG, PNG</w:t>
      </w:r>
      <w:r>
        <w:rPr/>
        <w:t>. Les autres types de fichiers sont refusés.</w:t>
      </w:r>
    </w:p>
    <w:p>
      <w:pPr>
        <w:pStyle w:val="Normal"/>
        <w:spacing w:before="0" w:after="60"/>
        <w:rPr>
          <w:sz w:val="8"/>
        </w:rPr>
      </w:pPr>
      <w:r>
        <w:rPr>
          <w:sz w:val="8"/>
        </w:rPr>
      </w:r>
    </w:p>
    <w:p>
      <w:pPr>
        <w:pStyle w:val="BodyText"/>
        <w:rPr/>
      </w:pPr>
      <w:r>
        <w:rPr/>
        <w:t xml:space="preserve">Validez ensuite le contrôle « Je ne suis pas un robot » s’il est affiché, puis envoyez le formulaire. Le bouton </w:t>
      </w:r>
      <w:r>
        <w:rPr>
          <w:b/>
          <w:bCs/>
        </w:rPr>
        <w:t>Retour</w:t>
      </w:r>
      <w:r>
        <w:rPr/>
        <w:t xml:space="preserve"> permet de revenir à l’étape 1 sans perdre la saisie.</w:t>
      </w:r>
      <w:bookmarkEnd w:id="56"/>
    </w:p>
    <w:p>
      <w:pPr>
        <w:pStyle w:val="Heading3"/>
        <w:rPr/>
      </w:pPr>
      <w:bookmarkStart w:id="57" w:name="après-lenvoi"/>
      <w:r>
        <w:rPr/>
        <w:t>Après l’envoi</w:t>
      </w:r>
    </w:p>
    <w:p>
      <w:pPr>
        <w:pStyle w:val="FirstParagraph"/>
        <w:rPr/>
      </w:pPr>
      <w:r>
        <w:rPr/>
        <w:t xml:space="preserve">Le message </w:t>
      </w:r>
      <w:r>
        <w:rPr>
          <w:b/>
          <w:bCs/>
        </w:rPr>
        <w:t>« Pré-inscription envoyée »</w:t>
      </w:r>
      <w:r>
        <w:rPr/>
        <w:t xml:space="preserve"> confirme la réception. Cliquez sur </w:t>
      </w:r>
      <w:r>
        <w:rPr>
          <w:b/>
          <w:bCs/>
        </w:rPr>
        <w:t>Retour à l’accueil</w:t>
      </w:r>
      <w:r>
        <w:rPr/>
        <w:t>.</w:t>
      </w:r>
    </w:p>
    <w:p>
      <w:pPr>
        <w:pStyle w:val="BodyText"/>
        <w:rPr/>
      </w:pPr>
      <w:r>
        <w:rPr/>
        <w:t>L’établissement étudie votre dossier et vous recontacte. Si la préinscription est approuvée :</w:t>
      </w:r>
    </w:p>
    <w:p>
      <w:pPr>
        <w:pStyle w:val="Compact"/>
        <w:numPr>
          <w:ilvl w:val="0"/>
          <w:numId w:val="202"/>
        </w:numPr>
        <w:rPr/>
      </w:pPr>
      <w:r>
        <w:rPr/>
        <w:t xml:space="preserve">vous devenez étudiant de l’établissement, avec un </w:t>
      </w:r>
      <w:r>
        <w:rPr>
          <w:b/>
          <w:bCs/>
        </w:rPr>
        <w:t>matricule</w:t>
      </w:r>
      <w:r>
        <w:rPr/>
        <w:t xml:space="preserve"> (par exemple </w:t>
      </w:r>
      <w:r>
        <w:rPr>
          <w:rStyle w:val="VerbatimChar"/>
        </w:rPr>
        <w:t>GÉNI-2026-0001</w:t>
      </w:r>
      <w:r>
        <w:rPr/>
        <w:t>) ;</w:t>
      </w:r>
    </w:p>
    <w:p>
      <w:pPr>
        <w:pStyle w:val="Compact"/>
        <w:numPr>
          <w:ilvl w:val="0"/>
          <w:numId w:val="203"/>
        </w:numPr>
        <w:rPr/>
      </w:pPr>
      <w:r>
        <w:rPr/>
        <w:t xml:space="preserve">un </w:t>
      </w:r>
      <w:r>
        <w:rPr>
          <w:b/>
          <w:bCs/>
        </w:rPr>
        <w:t>compte pour le portail étudiant</w:t>
      </w:r>
      <w:r>
        <w:rPr/>
        <w:t xml:space="preserve"> est créé ; l’administration vous remet votre nom d’utilisateur et votre mot de passe initial.</w:t>
      </w:r>
      <w:bookmarkEnd w:id="57"/>
    </w:p>
    <w:p>
      <w:pPr>
        <w:pStyle w:val="Heading3"/>
        <w:rPr/>
      </w:pPr>
      <w:r>
        <w:rPr/>
        <w:t>Erreurs possibles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958"/>
        <w:gridCol w:w="5679"/>
      </w:tblGrid>
      <w:tr>
        <w:trPr>
          <w:tblHeader w:val="true"/>
          <w:cantSplit w:val="true"/>
        </w:trPr>
        <w:tc>
          <w:tcPr>
            <w:tcW w:w="395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Message</w:t>
            </w:r>
          </w:p>
        </w:tc>
        <w:tc>
          <w:tcPr>
            <w:tcW w:w="567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Explication</w:t>
            </w:r>
          </w:p>
        </w:tc>
      </w:tr>
      <w:tr>
        <w:trPr>
          <w:cantSplit w:val="true"/>
        </w:trPr>
        <w:tc>
          <w:tcPr>
            <w:tcW w:w="395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Une pré-inscription avec cet email (ou ce numéro de téléphone) est déjà en cours de traitement</w:t>
            </w:r>
          </w:p>
        </w:tc>
        <w:tc>
          <w:tcPr>
            <w:tcW w:w="56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Vous avez déjà envoyé une demande : inutile de recommencer, l’établissement la traite. Contactez-le en cas de doute.</w:t>
            </w:r>
          </w:p>
        </w:tc>
      </w:tr>
      <w:tr>
        <w:trPr>
          <w:cantSplit w:val="true"/>
        </w:trPr>
        <w:tc>
          <w:tcPr>
            <w:tcW w:w="395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Un étudiant avec cet email est déjà inscrit</w:t>
            </w:r>
          </w:p>
        </w:tc>
        <w:tc>
          <w:tcPr>
            <w:tcW w:w="56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Cette adresse appartient déjà à un étudiant de l’établissement.</w:t>
            </w:r>
          </w:p>
        </w:tc>
      </w:tr>
      <w:tr>
        <w:trPr>
          <w:cantSplit w:val="true"/>
        </w:trPr>
        <w:tc>
          <w:tcPr>
            <w:tcW w:w="395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Type de fichier non autorisé</w:t>
            </w:r>
          </w:p>
        </w:tc>
        <w:tc>
          <w:tcPr>
            <w:tcW w:w="56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document n’est pas un PDF ou une image. Convertissez-le (par exemple en photographiant le document).</w:t>
            </w:r>
          </w:p>
        </w:tc>
      </w:tr>
      <w:tr>
        <w:trPr>
          <w:cantSplit w:val="true"/>
        </w:trPr>
        <w:tc>
          <w:tcPr>
            <w:tcW w:w="395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Champ obligatoire</w:t>
            </w:r>
          </w:p>
        </w:tc>
        <w:tc>
          <w:tcPr>
            <w:tcW w:w="56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Un champ marqué </w:t>
            </w:r>
            <w:r>
              <w:rPr>
                <w:rStyle w:val="VerbatimChar"/>
                <w:rFonts w:eastAsia="Calibri" w:cs="Calibri"/>
                <w:kern w:val="0"/>
                <w:lang w:val="fr-FR" w:eastAsia="en-US" w:bidi="ar-SA"/>
              </w:rPr>
              <w:t>*</w:t>
            </w:r>
            <w:r>
              <w:rPr>
                <w:rFonts w:eastAsia="Calibri" w:cs="Calibri"/>
                <w:kern w:val="0"/>
                <w:sz w:val="19"/>
                <w:szCs w:val="19"/>
                <w:lang w:val="fr-FR" w:eastAsia="en-US" w:bidi="ar-SA"/>
              </w:rPr>
              <w:t xml:space="preserve"> est vide.</w:t>
            </w:r>
          </w:p>
        </w:tc>
      </w:tr>
      <w:tr>
        <w:trPr>
          <w:cantSplit w:val="true"/>
        </w:trPr>
        <w:tc>
          <w:tcPr>
            <w:tcW w:w="395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Vérification reCAPTCHA échouée</w:t>
            </w:r>
          </w:p>
        </w:tc>
        <w:tc>
          <w:tcPr>
            <w:tcW w:w="56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Cochez à nouveau « Je ne suis pas un robot », ou rechargez la page.</w:t>
            </w:r>
            <w:bookmarkStart w:id="58" w:name="préinscription-en-ligne-candidats"/>
            <w:bookmarkStart w:id="59" w:name="erreurs-possibles"/>
            <w:bookmarkEnd w:id="58"/>
            <w:bookmarkEnd w:id="59"/>
          </w:p>
        </w:tc>
      </w:tr>
    </w:tbl>
    <w:p>
      <w:pPr>
        <w:pStyle w:val="Heading2"/>
        <w:rPr/>
      </w:pPr>
      <w:bookmarkStart w:id="60" w:name="__RefHeading___Toc15148_1458957718"/>
      <w:bookmarkEnd w:id="60"/>
      <w:r>
        <w:rPr/>
        <w:t>Administration</w:t>
      </w:r>
    </w:p>
    <w:p>
      <w:pPr>
        <w:pStyle w:val="FirstParagraph"/>
        <w:rPr/>
      </w:pPr>
      <w:r>
        <w:rPr/>
        <w:t xml:space="preserve">L’espace d’administration regroupe tous les modules de gestion. Le menu de gauche n’affiche </w:t>
      </w:r>
      <w:r>
        <w:rPr>
          <w:b/>
          <w:bCs/>
        </w:rPr>
        <w:t>que les modules autorisés par votre rôle</w:t>
      </w:r>
      <w:r>
        <w:rPr/>
        <w:t xml:space="preserve"> (voir Rôles et droits d’accès).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192"/>
        <w:gridCol w:w="3709"/>
        <w:gridCol w:w="3737"/>
      </w:tblGrid>
      <w:tr>
        <w:trPr>
          <w:tblHeader w:val="true"/>
          <w:cantSplit w:val="true"/>
        </w:trPr>
        <w:tc>
          <w:tcPr>
            <w:tcW w:w="219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Menu</w:t>
            </w:r>
          </w:p>
        </w:tc>
        <w:tc>
          <w:tcPr>
            <w:tcW w:w="370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Sous-menus</w:t>
            </w:r>
          </w:p>
        </w:tc>
        <w:tc>
          <w:tcPr>
            <w:tcW w:w="373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Page du guide</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Tableau de bord</w:t>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Tableau de bord</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Étudiants</w:t>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Enseignants</w:t>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Enseignants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Pédagogie</w:t>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Structure Académique</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Structure académique</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Cours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Cours et modules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Notes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Notes et relevés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Emploi du temps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Emploi du temps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Banque d’épreuves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Banque d’épreuves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Assiduité</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Assiduité</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Coordonnateurs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Coordonnateurs de filière</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Finances</w:t>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Aperçu global</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Aperçu financier</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Préinscriptions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Préinscriptions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Scolarité</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Scolarité et paiements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Salaires Personnel / Salaires Formateurs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Salaires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Heures vacataires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Heures des vacataires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Inventaire</w:t>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Inventaire et demandes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Personnel</w:t>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Liste du personnel, Congés et absences</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Personnel et congés</w:t>
            </w:r>
          </w:p>
        </w:tc>
      </w:tr>
      <w:tr>
        <w:trPr>
          <w:cantSplit w:val="true"/>
        </w:trPr>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Système</w:t>
            </w:r>
          </w:p>
        </w:tc>
        <w:tc>
          <w:tcPr>
            <w:tcW w:w="370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Paramètres Globaux, Utilisateurs, Rôles, Apparence &amp; École</w:t>
            </w:r>
          </w:p>
        </w:tc>
        <w:tc>
          <w:tcPr>
            <w:tcW w:w="37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Système</w:t>
            </w:r>
          </w:p>
        </w:tc>
      </w:tr>
    </w:tbl>
    <w:p>
      <w:pPr>
        <w:pStyle w:val="EncadreInfo"/>
        <w:rPr/>
      </w:pPr>
      <w:r>
        <w:rPr>
          <w:b/>
          <w:bCs/>
        </w:rPr>
        <w:t>Lecture seule</w:t>
      </w:r>
    </w:p>
    <w:p>
      <w:pPr>
        <w:pStyle w:val="EncadreInfo"/>
        <w:rPr/>
      </w:pPr>
      <w:r>
        <w:rPr/>
        <w:t xml:space="preserve">Si votre rôle n’a que le droit </w:t>
      </w:r>
      <w:r>
        <w:rPr>
          <w:b/>
          <w:bCs/>
        </w:rPr>
        <w:t>Lecture</w:t>
      </w:r>
      <w:r>
        <w:rPr/>
        <w:t xml:space="preserve"> sur un domaine, les boutons d’ajout, de modification et de suppression sont masqués (ou refusés avec un message « Accès refusé », par exemple pour les notes).</w:t>
      </w:r>
    </w:p>
    <w:p>
      <w:pPr>
        <w:pStyle w:val="Normal"/>
        <w:spacing w:before="0" w:after="60"/>
        <w:rPr>
          <w:sz w:val="8"/>
        </w:rPr>
      </w:pPr>
      <w:r>
        <w:rPr>
          <w:sz w:val="8"/>
        </w:rPr>
      </w:r>
    </w:p>
    <w:p>
      <w:pPr>
        <w:pStyle w:val="Heading2"/>
        <w:rPr/>
      </w:pPr>
      <w:bookmarkStart w:id="61" w:name="__RefHeading___Toc15150_1458957718"/>
      <w:bookmarkStart w:id="62" w:name="administration-tableau-de-bord"/>
      <w:bookmarkEnd w:id="61"/>
      <w:r>
        <w:rPr/>
        <w:t>Administration — Tableau de bord</w:t>
      </w:r>
    </w:p>
    <w:p>
      <w:pPr>
        <w:pStyle w:val="FirstParagraph"/>
        <w:rPr/>
      </w:pPr>
      <w:r>
        <w:rPr>
          <w:b/>
          <w:bCs/>
        </w:rPr>
        <w:t>Menu :</w:t>
      </w:r>
      <w:r>
        <w:rPr/>
        <w:t xml:space="preserve"> Tableau de bord — </w:t>
      </w:r>
      <w:r>
        <w:rPr>
          <w:b/>
          <w:bCs/>
        </w:rPr>
        <w:t>Accès :</w:t>
      </w:r>
      <w:r>
        <w:rPr/>
        <w:t xml:space="preserve"> tout le personnel.</w:t>
      </w:r>
    </w:p>
    <w:p>
      <w:pPr>
        <w:pStyle w:val="BodyText"/>
        <w:rPr/>
      </w:pPr>
      <w:r>
        <w:rPr/>
        <w:t>Page d’accueil de l’administration, titrée « Aperçu Global et Statistiques ». Elle donne une vue d’ensemble de l’année académique sélectionnée en haut de l’écran.</w:t>
      </w:r>
    </w:p>
    <w:p>
      <w:pPr>
        <w:pStyle w:val="Heading3"/>
        <w:rPr/>
      </w:pPr>
      <w:r>
        <w:rPr/>
        <w:t>Ce que vous y trouvez</w:t>
      </w:r>
    </w:p>
    <w:p>
      <w:pPr>
        <w:pStyle w:val="Normal"/>
        <w:jc w:val="center"/>
        <w:rPr/>
      </w:pPr>
      <w:r>
        <w:rPr/>
        <w:drawing>
          <wp:inline distT="0" distB="0" distL="0" distR="0">
            <wp:extent cx="5334000" cy="3333750"/>
            <wp:effectExtent l="0" t="0" r="0" b="0"/>
            <wp:docPr id="11" name="Image11" descr="Le tableau de bord de l’admin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Le tableau de bord de l’administration"/>
                    <pic:cNvPicPr>
                      <a:picLocks noChangeAspect="1" noChangeArrowheads="1"/>
                    </pic:cNvPicPr>
                  </pic:nvPicPr>
                  <pic:blipFill>
                    <a:blip r:embed="rId12"/>
                    <a:stretch>
                      <a:fillRect/>
                    </a:stretch>
                  </pic:blipFill>
                  <pic:spPr bwMode="auto">
                    <a:xfrm>
                      <a:off x="0" y="0"/>
                      <a:ext cx="5334000" cy="3333750"/>
                    </a:xfrm>
                    <a:prstGeom prst="rect">
                      <a:avLst/>
                    </a:prstGeom>
                  </pic:spPr>
                </pic:pic>
              </a:graphicData>
            </a:graphic>
          </wp:inline>
        </w:drawing>
      </w:r>
    </w:p>
    <w:p>
      <w:pPr>
        <w:pStyle w:val="ImageCaption"/>
        <w:rPr/>
      </w:pPr>
      <w:r>
        <w:rPr/>
        <w:t>Le tableau de bord de l’administration</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966"/>
        <w:gridCol w:w="5671"/>
      </w:tblGrid>
      <w:tr>
        <w:trPr>
          <w:tblHeader w:val="true"/>
          <w:cantSplit w:val="true"/>
        </w:trPr>
        <w:tc>
          <w:tcPr>
            <w:tcW w:w="396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Bloc</w:t>
            </w:r>
          </w:p>
        </w:tc>
        <w:tc>
          <w:tcPr>
            <w:tcW w:w="567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Contenu</w:t>
            </w:r>
          </w:p>
        </w:tc>
      </w:tr>
      <w:tr>
        <w:trPr>
          <w:cantSplit w:val="true"/>
        </w:trPr>
        <w:tc>
          <w:tcPr>
            <w:tcW w:w="396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Cartes de chiffres clés</w:t>
            </w:r>
          </w:p>
        </w:tc>
        <w:tc>
          <w:tcPr>
            <w:tcW w:w="56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Étudiants Inscrits</w:t>
            </w:r>
            <w:r>
              <w:rPr>
                <w:rFonts w:eastAsia="Calibri" w:cs="Calibri"/>
                <w:kern w:val="0"/>
                <w:sz w:val="19"/>
                <w:szCs w:val="19"/>
                <w:lang w:val="fr-FR" w:eastAsia="en-US" w:bidi="ar-SA"/>
              </w:rPr>
              <w:t xml:space="preserve">, </w:t>
            </w:r>
            <w:r>
              <w:rPr>
                <w:rFonts w:eastAsia="Calibri" w:cs="Calibri"/>
                <w:b/>
                <w:bCs/>
                <w:kern w:val="0"/>
                <w:sz w:val="19"/>
                <w:szCs w:val="19"/>
                <w:lang w:val="fr-FR" w:eastAsia="en-US" w:bidi="ar-SA"/>
              </w:rPr>
              <w:t>Formateurs Actifs</w:t>
            </w:r>
            <w:r>
              <w:rPr>
                <w:rFonts w:eastAsia="Calibri" w:cs="Calibri"/>
                <w:kern w:val="0"/>
                <w:sz w:val="19"/>
                <w:szCs w:val="19"/>
                <w:lang w:val="fr-FR" w:eastAsia="en-US" w:bidi="ar-SA"/>
              </w:rPr>
              <w:t xml:space="preserve">, </w:t>
            </w:r>
            <w:r>
              <w:rPr>
                <w:rFonts w:eastAsia="Calibri" w:cs="Calibri"/>
                <w:b/>
                <w:bCs/>
                <w:kern w:val="0"/>
                <w:sz w:val="19"/>
                <w:szCs w:val="19"/>
                <w:lang w:val="fr-FR" w:eastAsia="en-US" w:bidi="ar-SA"/>
              </w:rPr>
              <w:t>Filières Opérationnelles</w:t>
            </w:r>
            <w:r>
              <w:rPr>
                <w:rFonts w:eastAsia="Calibri" w:cs="Calibri"/>
                <w:kern w:val="0"/>
                <w:sz w:val="19"/>
                <w:szCs w:val="19"/>
                <w:lang w:val="fr-FR" w:eastAsia="en-US" w:bidi="ar-SA"/>
              </w:rPr>
              <w:t xml:space="preserve"> (survolez une carte pour voir son libellé).</w:t>
            </w:r>
          </w:p>
        </w:tc>
      </w:tr>
      <w:tr>
        <w:trPr>
          <w:cantSplit w:val="true"/>
        </w:trPr>
        <w:tc>
          <w:tcPr>
            <w:tcW w:w="396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Flux Financier Mensuel (Revenus vs Dépenses)</w:t>
            </w:r>
          </w:p>
        </w:tc>
        <w:tc>
          <w:tcPr>
            <w:tcW w:w="56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Graphique mois par mois des entrées (paiements, revenus) et des sorties (dépenses, salaires payés).</w:t>
            </w:r>
          </w:p>
        </w:tc>
      </w:tr>
      <w:tr>
        <w:trPr>
          <w:cantSplit w:val="true"/>
        </w:trPr>
        <w:tc>
          <w:tcPr>
            <w:tcW w:w="396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Répartition des étudiants par filière</w:t>
            </w:r>
          </w:p>
        </w:tc>
        <w:tc>
          <w:tcPr>
            <w:tcW w:w="56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Graphique des effectifs.</w:t>
            </w:r>
          </w:p>
        </w:tc>
      </w:tr>
      <w:tr>
        <w:trPr>
          <w:cantSplit w:val="true"/>
        </w:trPr>
        <w:tc>
          <w:tcPr>
            <w:tcW w:w="396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Évolution des pré-inscriptions</w:t>
            </w:r>
          </w:p>
        </w:tc>
        <w:tc>
          <w:tcPr>
            <w:tcW w:w="56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Nombre de préinscriptions reçues dans le temps.</w:t>
            </w:r>
            <w:bookmarkStart w:id="63" w:name="ce-que-vous-y-trouvez"/>
            <w:bookmarkEnd w:id="63"/>
          </w:p>
        </w:tc>
      </w:tr>
    </w:tbl>
    <w:p>
      <w:pPr>
        <w:pStyle w:val="Heading3"/>
        <w:rPr/>
      </w:pPr>
      <w:r>
        <w:rPr/>
        <w:t>Bon à savoir</w:t>
      </w:r>
    </w:p>
    <w:p>
      <w:pPr>
        <w:pStyle w:val="Compact"/>
        <w:numPr>
          <w:ilvl w:val="0"/>
          <w:numId w:val="204"/>
        </w:numPr>
        <w:rPr/>
      </w:pPr>
      <w:r>
        <w:rPr/>
        <w:t xml:space="preserve">Les chiffres concernent </w:t>
      </w:r>
      <w:r>
        <w:rPr>
          <w:b/>
          <w:bCs/>
        </w:rPr>
        <w:t>l’année sélectionnée</w:t>
      </w:r>
      <w:r>
        <w:rPr/>
        <w:t xml:space="preserve"> dans la barre du haut.</w:t>
      </w:r>
    </w:p>
    <w:p>
      <w:pPr>
        <w:pStyle w:val="Compact"/>
        <w:numPr>
          <w:ilvl w:val="0"/>
          <w:numId w:val="205"/>
        </w:numPr>
        <w:rPr/>
      </w:pPr>
      <w:r>
        <w:rPr/>
        <w:t xml:space="preserve">Les graphiques financiers ne s’affichent que si votre rôle a accès aux </w:t>
      </w:r>
      <w:r>
        <w:rPr>
          <w:b/>
          <w:bCs/>
        </w:rPr>
        <w:t>Finances</w:t>
      </w:r>
      <w:r>
        <w:rPr/>
        <w:t>.</w:t>
      </w:r>
    </w:p>
    <w:p>
      <w:pPr>
        <w:pStyle w:val="Compact"/>
        <w:numPr>
          <w:ilvl w:val="0"/>
          <w:numId w:val="206"/>
        </w:numPr>
        <w:rPr/>
      </w:pPr>
      <w:r>
        <w:rPr/>
        <w:t>Le tableau de bord se met à jour à chaque ouverture de la page ; rechargez-la (</w:t>
      </w:r>
      <w:r>
        <w:rPr>
          <w:b/>
          <w:bCs/>
        </w:rPr>
        <w:t>F5</w:t>
      </w:r>
      <w:r>
        <w:rPr/>
        <w:t>) pour voir les dernières saisies.</w:t>
      </w:r>
    </w:p>
    <w:p>
      <w:pPr>
        <w:pStyle w:val="Compact"/>
        <w:numPr>
          <w:ilvl w:val="0"/>
          <w:numId w:val="207"/>
        </w:numPr>
        <w:rPr/>
      </w:pPr>
      <w:bookmarkStart w:id="64" w:name="administration-tableau-de-bord"/>
      <w:r>
        <w:rPr/>
        <w:t>Si la page reste blanche ou tourne indéfiniment après connexion, déconnectez-vous puis reconnectez-vous ; voir Dépannage.</w:t>
      </w:r>
      <w:bookmarkEnd w:id="64"/>
    </w:p>
    <w:p>
      <w:pPr>
        <w:pStyle w:val="Heading2"/>
        <w:rPr/>
      </w:pPr>
      <w:bookmarkStart w:id="65" w:name="__RefHeading___Toc15152_1458957718"/>
      <w:bookmarkStart w:id="66" w:name="administration-structure-académique"/>
      <w:bookmarkEnd w:id="65"/>
      <w:r>
        <w:rPr/>
        <w:t>Administration — Structure académique</w:t>
      </w:r>
    </w:p>
    <w:p>
      <w:pPr>
        <w:pStyle w:val="FirstParagraph"/>
        <w:rPr/>
      </w:pPr>
      <w:r>
        <w:rPr>
          <w:b/>
          <w:bCs/>
        </w:rPr>
        <w:t>Menu :</w:t>
      </w:r>
      <w:r>
        <w:rPr/>
        <w:t xml:space="preserve"> Pédagogie → Structure Académique — </w:t>
      </w:r>
      <w:r>
        <w:rPr>
          <w:b/>
          <w:bCs/>
        </w:rPr>
        <w:t>Accès :</w:t>
      </w:r>
      <w:r>
        <w:rPr/>
        <w:t xml:space="preserve"> domaine </w:t>
      </w:r>
      <w:r>
        <w:rPr>
          <w:i/>
          <w:iCs/>
        </w:rPr>
        <w:t>Pédagogie</w:t>
      </w:r>
      <w:r>
        <w:rPr/>
        <w:t xml:space="preserve"> (Écriture pour modifier).</w:t>
      </w:r>
    </w:p>
    <w:p>
      <w:pPr>
        <w:pStyle w:val="BodyText"/>
        <w:rPr/>
      </w:pPr>
      <w:r>
        <w:rPr/>
        <w:t xml:space="preserve">Cette page décrit l’organisation de l’établissement. Elle se remplit </w:t>
      </w:r>
      <w:r>
        <w:rPr>
          <w:b/>
          <w:bCs/>
        </w:rPr>
        <w:t>une fois</w:t>
      </w:r>
      <w:r>
        <w:rPr/>
        <w:t xml:space="preserve"> à la mise en service, puis évolue peu. Elle comporte huit onglets.</w:t>
      </w:r>
    </w:p>
    <w:p>
      <w:pPr>
        <w:pStyle w:val="Normal"/>
        <w:jc w:val="center"/>
        <w:rPr/>
      </w:pPr>
      <w:r>
        <w:rPr/>
        <w:drawing>
          <wp:inline distT="0" distB="0" distL="0" distR="0">
            <wp:extent cx="1296035" cy="3935095"/>
            <wp:effectExtent l="0" t="0" r="0" b="0"/>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13"/>
                    <a:stretch>
                      <a:fillRect/>
                    </a:stretch>
                  </pic:blipFill>
                  <pic:spPr bwMode="auto">
                    <a:xfrm>
                      <a:off x="0" y="0"/>
                      <a:ext cx="1296035" cy="3935095"/>
                    </a:xfrm>
                    <a:prstGeom prst="rect">
                      <a:avLst/>
                    </a:prstGeom>
                  </pic:spPr>
                </pic:pic>
              </a:graphicData>
            </a:graphic>
          </wp:inline>
        </w:drawing>
      </w:r>
    </w:p>
    <w:p>
      <w:pPr>
        <w:pStyle w:val="Heading3"/>
        <w:rPr/>
      </w:pPr>
      <w:bookmarkStart w:id="67" w:name="fonctionnement-commun-à-tous-les-onglets"/>
      <w:bookmarkEnd w:id="67"/>
      <w:r>
        <w:rPr/>
        <w:t>Fonctionnement commun à tous les onglets</w:t>
      </w:r>
    </w:p>
    <w:p>
      <w:pPr>
        <w:pStyle w:val="Normal"/>
        <w:jc w:val="center"/>
        <w:rPr/>
      </w:pPr>
      <w:r>
        <w:rPr/>
        <w:drawing>
          <wp:inline distT="0" distB="0" distL="0" distR="0">
            <wp:extent cx="5334000" cy="3333750"/>
            <wp:effectExtent l="0" t="0" r="0" b="0"/>
            <wp:docPr id="13" name="Image13" descr="La page Structure Académique et ses huit ong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La page Structure Académique et ses huit onglets"/>
                    <pic:cNvPicPr>
                      <a:picLocks noChangeAspect="1" noChangeArrowheads="1"/>
                    </pic:cNvPicPr>
                  </pic:nvPicPr>
                  <pic:blipFill>
                    <a:blip r:embed="rId14"/>
                    <a:stretch>
                      <a:fillRect/>
                    </a:stretch>
                  </pic:blipFill>
                  <pic:spPr bwMode="auto">
                    <a:xfrm>
                      <a:off x="0" y="0"/>
                      <a:ext cx="5334000" cy="3333750"/>
                    </a:xfrm>
                    <a:prstGeom prst="rect">
                      <a:avLst/>
                    </a:prstGeom>
                  </pic:spPr>
                </pic:pic>
              </a:graphicData>
            </a:graphic>
          </wp:inline>
        </w:drawing>
      </w:r>
    </w:p>
    <w:p>
      <w:pPr>
        <w:pStyle w:val="ImageCaption"/>
        <w:rPr/>
      </w:pPr>
      <w:r>
        <w:rPr/>
        <w:t>La page Structure Académique et ses huit onglets</w:t>
      </w:r>
    </w:p>
    <w:p>
      <w:pPr>
        <w:pStyle w:val="Compact"/>
        <w:numPr>
          <w:ilvl w:val="0"/>
          <w:numId w:val="208"/>
        </w:numPr>
        <w:rPr/>
      </w:pPr>
      <w:r>
        <w:rPr/>
        <w:t>Cliquez sur l’onglet voulu.</w:t>
      </w:r>
    </w:p>
    <w:p>
      <w:pPr>
        <w:pStyle w:val="Compact"/>
        <w:numPr>
          <w:ilvl w:val="0"/>
          <w:numId w:val="209"/>
        </w:numPr>
        <w:rPr/>
      </w:pPr>
      <w:r>
        <w:rPr>
          <w:b/>
          <w:bCs/>
        </w:rPr>
        <w:t>Ajouter</w:t>
      </w:r>
      <w:r>
        <w:rPr/>
        <w:t xml:space="preserve"> ouvre le formulaire ; remplissez-le puis </w:t>
      </w:r>
      <w:r>
        <w:rPr>
          <w:b/>
          <w:bCs/>
        </w:rPr>
        <w:t>Enregistrer</w:t>
      </w:r>
      <w:r>
        <w:rPr/>
        <w:t xml:space="preserve"> (ou </w:t>
      </w:r>
      <w:r>
        <w:rPr>
          <w:b/>
          <w:bCs/>
        </w:rPr>
        <w:t>Annuler</w:t>
      </w:r>
      <w:r>
        <w:rPr/>
        <w:t>).</w:t>
      </w:r>
    </w:p>
    <w:p>
      <w:pPr>
        <w:pStyle w:val="Compact"/>
        <w:numPr>
          <w:ilvl w:val="0"/>
          <w:numId w:val="210"/>
        </w:numPr>
        <w:rPr/>
      </w:pPr>
      <w:r>
        <w:rPr/>
        <w:t>Dans le tableau, l’icône crayon modifie une ligne, la corbeille la supprime (avec confirmation).</w:t>
      </w:r>
    </w:p>
    <w:p>
      <w:pPr>
        <w:pStyle w:val="EncadreDanger"/>
        <w:rPr/>
      </w:pPr>
      <w:r>
        <w:rPr>
          <w:b/>
          <w:bCs/>
        </w:rPr>
        <w:t>Supprimer un élément de la structure</w:t>
      </w:r>
    </w:p>
    <w:p>
      <w:pPr>
        <w:pStyle w:val="EncadreDanger"/>
        <w:rPr/>
      </w:pPr>
      <w:r>
        <w:rPr/>
        <w:t>Supprimer une filière, un niveau ou une classe peut supprimer ou détacher les éléments qui en dépendent (classes, inscriptions…). Ne supprimez qu’un élément créé par erreur et encore inutilisé. Préférez la modification.</w:t>
      </w:r>
    </w:p>
    <w:p>
      <w:pPr>
        <w:pStyle w:val="Normal"/>
        <w:spacing w:before="0" w:after="60"/>
        <w:rPr>
          <w:sz w:val="8"/>
        </w:rPr>
      </w:pPr>
      <w:r>
        <w:rPr>
          <w:sz w:val="8"/>
        </w:rPr>
      </w:r>
      <w:bookmarkStart w:id="68" w:name="fonctionnement-commun-à-tous-les-onglets"/>
      <w:bookmarkStart w:id="69" w:name="fonctionnement-commun-à-tous-les-onglets"/>
      <w:bookmarkEnd w:id="69"/>
    </w:p>
    <w:p>
      <w:pPr>
        <w:pStyle w:val="Heading3"/>
        <w:rPr/>
      </w:pPr>
      <w:bookmarkStart w:id="70" w:name="onglet-universités"/>
      <w:r>
        <w:rPr/>
        <w:t xml:space="preserve">Onglet </w:t>
      </w:r>
      <w:r>
        <w:rPr>
          <w:i/>
          <w:iCs/>
        </w:rPr>
        <w:t>Universités</w:t>
      </w:r>
    </w:p>
    <w:p>
      <w:pPr>
        <w:pStyle w:val="FirstParagraph"/>
        <w:rPr/>
      </w:pPr>
      <w:bookmarkStart w:id="71" w:name="onglet-universités"/>
      <w:r>
        <w:rPr/>
        <w:t>L’établissement (ou les universités de tutelle). Champs : « Nom », « Code », « Description ».</w:t>
      </w:r>
      <w:bookmarkEnd w:id="71"/>
    </w:p>
    <w:p>
      <w:pPr>
        <w:pStyle w:val="Heading3"/>
        <w:rPr/>
      </w:pPr>
      <w:bookmarkStart w:id="72" w:name="onglet-départements"/>
      <w:r>
        <w:rPr/>
        <w:t xml:space="preserve">Onglet </w:t>
      </w:r>
      <w:r>
        <w:rPr>
          <w:i/>
          <w:iCs/>
        </w:rPr>
        <w:t>Départements</w:t>
      </w:r>
    </w:p>
    <w:p>
      <w:pPr>
        <w:pStyle w:val="FirstParagraph"/>
        <w:rPr/>
      </w:pPr>
      <w:bookmarkStart w:id="73" w:name="onglet-départements"/>
      <w:r>
        <w:rPr/>
        <w:t>Regroupement de filières. Champs : « Nom du département », « Université », « Description ».</w:t>
      </w:r>
      <w:bookmarkEnd w:id="73"/>
    </w:p>
    <w:p>
      <w:pPr>
        <w:pStyle w:val="Heading3"/>
        <w:rPr/>
      </w:pPr>
      <w:bookmarkStart w:id="74" w:name="onglet-filières"/>
      <w:bookmarkEnd w:id="74"/>
      <w:r>
        <w:rPr/>
        <w:t xml:space="preserve">Onglet </w:t>
      </w:r>
      <w:r>
        <w:rPr>
          <w:i/>
          <w:iCs/>
        </w:rPr>
        <w:t>Filières</w:t>
      </w:r>
    </w:p>
    <w:p>
      <w:pPr>
        <w:pStyle w:val="Normal"/>
        <w:jc w:val="center"/>
        <w:rPr/>
      </w:pPr>
      <w:r>
        <w:rPr/>
        <w:drawing>
          <wp:inline distT="0" distB="0" distL="0" distR="0">
            <wp:extent cx="5334000" cy="3333750"/>
            <wp:effectExtent l="0" t="0" r="0" b="0"/>
            <wp:docPr id="14" name="Image14" descr="Onglet Filiè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Onglet Filières"/>
                    <pic:cNvPicPr>
                      <a:picLocks noChangeAspect="1" noChangeArrowheads="1"/>
                    </pic:cNvPicPr>
                  </pic:nvPicPr>
                  <pic:blipFill>
                    <a:blip r:embed="rId15"/>
                    <a:stretch>
                      <a:fillRect/>
                    </a:stretch>
                  </pic:blipFill>
                  <pic:spPr bwMode="auto">
                    <a:xfrm>
                      <a:off x="0" y="0"/>
                      <a:ext cx="5334000" cy="3333750"/>
                    </a:xfrm>
                    <a:prstGeom prst="rect">
                      <a:avLst/>
                    </a:prstGeom>
                  </pic:spPr>
                </pic:pic>
              </a:graphicData>
            </a:graphic>
          </wp:inline>
        </w:drawing>
      </w:r>
    </w:p>
    <w:p>
      <w:pPr>
        <w:pStyle w:val="ImageCaption"/>
        <w:rPr/>
      </w:pPr>
      <w:r>
        <w:rPr/>
        <w:t>Onglet Filières</w:t>
      </w:r>
    </w:p>
    <w:p>
      <w:pPr>
        <w:pStyle w:val="BodyText"/>
        <w:rPr/>
      </w:pPr>
      <w:r>
        <w:rPr/>
        <w:t xml:space="preserve">La formation principale (par exemple </w:t>
      </w:r>
      <w:r>
        <w:rPr>
          <w:i/>
          <w:iCs/>
        </w:rPr>
        <w:t>Génie Informatique</w:t>
      </w:r>
      <w:r>
        <w:rPr/>
        <w:t xml:space="preserve">, </w:t>
      </w:r>
      <w:r>
        <w:rPr>
          <w:i/>
          <w:iCs/>
        </w:rPr>
        <w:t>Gestion</w:t>
      </w:r>
      <w:r>
        <w:rPr/>
        <w: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5184"/>
        <w:gridCol w:w="4453"/>
      </w:tblGrid>
      <w:tr>
        <w:trPr>
          <w:tblHeader w:val="true"/>
          <w:cantSplit w:val="true"/>
        </w:trPr>
        <w:tc>
          <w:tcPr>
            <w:tcW w:w="518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445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r>
      <w:tr>
        <w:trPr>
          <w:cantSplit w:val="true"/>
        </w:trPr>
        <w:tc>
          <w:tcPr>
            <w:tcW w:w="518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de la filière (ex: Génie Informatique)</w:t>
            </w:r>
          </w:p>
        </w:tc>
        <w:tc>
          <w:tcPr>
            <w:tcW w:w="445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Génie Informatique</w:t>
            </w:r>
          </w:p>
        </w:tc>
      </w:tr>
      <w:tr>
        <w:trPr>
          <w:cantSplit w:val="true"/>
        </w:trPr>
        <w:tc>
          <w:tcPr>
            <w:tcW w:w="518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Département</w:t>
            </w:r>
          </w:p>
        </w:tc>
        <w:tc>
          <w:tcPr>
            <w:tcW w:w="445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Sciences et Technologies</w:t>
            </w:r>
          </w:p>
        </w:tc>
      </w:tr>
      <w:tr>
        <w:trPr>
          <w:cantSplit w:val="true"/>
        </w:trPr>
        <w:tc>
          <w:tcPr>
            <w:tcW w:w="518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du responsable</w:t>
            </w:r>
          </w:p>
        </w:tc>
        <w:tc>
          <w:tcPr>
            <w:tcW w:w="445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Dr Mbarga</w:t>
            </w:r>
          </w:p>
        </w:tc>
      </w:tr>
    </w:tbl>
    <w:p>
      <w:pPr>
        <w:pStyle w:val="EncadreInfo"/>
        <w:rPr/>
      </w:pPr>
      <w:r>
        <w:rPr>
          <w:b/>
          <w:bCs/>
        </w:rPr>
        <w:t>Matricules</w:t>
      </w:r>
    </w:p>
    <w:p>
      <w:pPr>
        <w:pStyle w:val="EncadreInfo"/>
        <w:rPr/>
      </w:pPr>
      <w:r>
        <w:rPr/>
        <w:t>Les 4 premières lettres du nom de la filière forment le début du matricule des étudiants (</w:t>
      </w:r>
      <w:r>
        <w:rPr>
          <w:rStyle w:val="VerbatimChar"/>
        </w:rPr>
        <w:t>GÉNI-2026-0001</w:t>
      </w:r>
      <w:r>
        <w:rPr/>
        <w:t>). Choisissez le nom avant d’inscrire des étudiants.</w:t>
      </w:r>
    </w:p>
    <w:p>
      <w:pPr>
        <w:pStyle w:val="Normal"/>
        <w:spacing w:before="0" w:after="60"/>
        <w:rPr>
          <w:sz w:val="8"/>
        </w:rPr>
      </w:pPr>
      <w:r>
        <w:rPr>
          <w:sz w:val="8"/>
        </w:rPr>
      </w:r>
      <w:bookmarkStart w:id="75" w:name="onglet-filières"/>
      <w:bookmarkStart w:id="76" w:name="onglet-filières"/>
      <w:bookmarkEnd w:id="76"/>
    </w:p>
    <w:p>
      <w:pPr>
        <w:pStyle w:val="Heading3"/>
        <w:rPr/>
      </w:pPr>
      <w:bookmarkStart w:id="77" w:name="onglet-spécialités"/>
      <w:r>
        <w:rPr/>
        <w:t xml:space="preserve">Onglet </w:t>
      </w:r>
      <w:r>
        <w:rPr>
          <w:i/>
          <w:iCs/>
        </w:rPr>
        <w:t>Spécialités</w:t>
      </w:r>
    </w:p>
    <w:p>
      <w:pPr>
        <w:pStyle w:val="Normal"/>
        <w:jc w:val="center"/>
        <w:rPr/>
      </w:pPr>
      <w:r>
        <w:rPr/>
        <w:drawing>
          <wp:inline distT="0" distB="0" distL="0" distR="0">
            <wp:extent cx="5334000" cy="3333750"/>
            <wp:effectExtent l="0" t="0" r="0" b="0"/>
            <wp:docPr id="15" name="Image15" descr="Onglet Spécialités : le nombre de niveaux génère les 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Onglet Spécialités : le nombre de niveaux génère les classes"/>
                    <pic:cNvPicPr>
                      <a:picLocks noChangeAspect="1" noChangeArrowheads="1"/>
                    </pic:cNvPicPr>
                  </pic:nvPicPr>
                  <pic:blipFill>
                    <a:blip r:embed="rId16"/>
                    <a:stretch>
                      <a:fillRect/>
                    </a:stretch>
                  </pic:blipFill>
                  <pic:spPr bwMode="auto">
                    <a:xfrm>
                      <a:off x="0" y="0"/>
                      <a:ext cx="5334000" cy="3333750"/>
                    </a:xfrm>
                    <a:prstGeom prst="rect">
                      <a:avLst/>
                    </a:prstGeom>
                  </pic:spPr>
                </pic:pic>
              </a:graphicData>
            </a:graphic>
          </wp:inline>
        </w:drawing>
      </w:r>
    </w:p>
    <w:p>
      <w:pPr>
        <w:pStyle w:val="ImageCaption"/>
        <w:rPr/>
      </w:pPr>
      <w:r>
        <w:rPr/>
        <w:t>Onglet Spécialités : le nombre de niveaux génère les classes</w:t>
      </w:r>
    </w:p>
    <w:p>
      <w:pPr>
        <w:pStyle w:val="BodyText"/>
        <w:rPr/>
      </w:pPr>
      <w:r>
        <w:rPr/>
        <w:t xml:space="preserve">Une option à l’intérieur d’une filière. </w:t>
      </w:r>
      <w:r>
        <w:rPr>
          <w:b/>
          <w:bCs/>
        </w:rPr>
        <w:t>C’est ici que les niveaux et les classes sont générés automatiquement.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5747"/>
        <w:gridCol w:w="3890"/>
      </w:tblGrid>
      <w:tr>
        <w:trPr>
          <w:tblHeader w:val="true"/>
          <w:cantSplit w:val="true"/>
        </w:trPr>
        <w:tc>
          <w:tcPr>
            <w:tcW w:w="574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389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r>
      <w:tr>
        <w:trPr>
          <w:cantSplit w:val="true"/>
        </w:trPr>
        <w:tc>
          <w:tcPr>
            <w:tcW w:w="5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Filière</w:t>
            </w:r>
          </w:p>
        </w:tc>
        <w:tc>
          <w:tcPr>
            <w:tcW w:w="3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Génie Informatique</w:t>
            </w:r>
          </w:p>
        </w:tc>
      </w:tr>
      <w:tr>
        <w:trPr>
          <w:cantSplit w:val="true"/>
        </w:trPr>
        <w:tc>
          <w:tcPr>
            <w:tcW w:w="5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de la spécialité (ex: Développement Web)</w:t>
            </w:r>
          </w:p>
        </w:tc>
        <w:tc>
          <w:tcPr>
            <w:tcW w:w="3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Développement Web</w:t>
            </w:r>
          </w:p>
        </w:tc>
      </w:tr>
      <w:tr>
        <w:trPr>
          <w:cantSplit w:val="true"/>
        </w:trPr>
        <w:tc>
          <w:tcPr>
            <w:tcW w:w="5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Type de Cycle (ex: Licence, BTS, Master)</w:t>
            </w:r>
          </w:p>
        </w:tc>
        <w:tc>
          <w:tcPr>
            <w:tcW w:w="3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Licence</w:t>
            </w:r>
          </w:p>
        </w:tc>
      </w:tr>
      <w:tr>
        <w:trPr>
          <w:cantSplit w:val="true"/>
        </w:trPr>
        <w:tc>
          <w:tcPr>
            <w:tcW w:w="57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Nombre de niveaux (ex: 3 pour Licence 1, 2, 3)</w:t>
            </w:r>
          </w:p>
        </w:tc>
        <w:tc>
          <w:tcPr>
            <w:tcW w:w="38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3</w:t>
            </w:r>
          </w:p>
        </w:tc>
      </w:tr>
    </w:tbl>
    <w:p>
      <w:pPr>
        <w:pStyle w:val="BodyText"/>
        <w:rPr/>
      </w:pPr>
      <w:r>
        <w:rPr/>
        <w:t xml:space="preserve">Résultat : les niveaux </w:t>
      </w:r>
      <w:r>
        <w:rPr>
          <w:i/>
          <w:iCs/>
        </w:rPr>
        <w:t>Licence 1, 2, 3</w:t>
      </w:r>
      <w:r>
        <w:rPr/>
        <w:t xml:space="preserve"> et les classes </w:t>
      </w:r>
      <w:r>
        <w:rPr>
          <w:i/>
          <w:iCs/>
        </w:rPr>
        <w:t>Développement Web Licence 1</w:t>
      </w:r>
      <w:r>
        <w:rPr/>
        <w:t xml:space="preserve">, </w:t>
      </w:r>
      <w:r>
        <w:rPr>
          <w:i/>
          <w:iCs/>
        </w:rPr>
        <w:t>Développement Web Licence 2</w:t>
      </w:r>
      <w:r>
        <w:rPr/>
        <w:t xml:space="preserve">, </w:t>
      </w:r>
      <w:r>
        <w:rPr>
          <w:i/>
          <w:iCs/>
        </w:rPr>
        <w:t>Développement Web Licence 3</w:t>
      </w:r>
      <w:r>
        <w:rPr/>
        <w:t xml:space="preserve"> sont créés pour chaque année académique.</w:t>
      </w:r>
      <w:bookmarkEnd w:id="77"/>
    </w:p>
    <w:p>
      <w:pPr>
        <w:pStyle w:val="Heading3"/>
        <w:rPr/>
      </w:pPr>
      <w:bookmarkStart w:id="78" w:name="onglet-niveaux"/>
      <w:r>
        <w:rPr/>
        <w:t xml:space="preserve">Onglet </w:t>
      </w:r>
      <w:r>
        <w:rPr>
          <w:i/>
          <w:iCs/>
        </w:rPr>
        <w:t>Niveaux</w:t>
      </w:r>
    </w:p>
    <w:p>
      <w:pPr>
        <w:pStyle w:val="FirstParagraph"/>
        <w:rPr/>
      </w:pPr>
      <w:bookmarkStart w:id="79" w:name="onglet-niveaux"/>
      <w:r>
        <w:rPr/>
        <w:t>Liste des niveaux (Licence 1, BTS 2…). Normalement générés par l’onglet Spécialités ; ajoutez un niveau ici seulement pour compléter un cycle existant (la classe correspondante sera créée automatiquement).</w:t>
      </w:r>
      <w:bookmarkEnd w:id="79"/>
    </w:p>
    <w:p>
      <w:pPr>
        <w:pStyle w:val="Heading3"/>
        <w:rPr/>
      </w:pPr>
      <w:bookmarkStart w:id="80" w:name="onglet-classes"/>
      <w:r>
        <w:rPr/>
        <w:t xml:space="preserve">Onglet </w:t>
      </w:r>
      <w:r>
        <w:rPr>
          <w:i/>
          <w:iCs/>
        </w:rPr>
        <w:t>Classes</w:t>
      </w:r>
    </w:p>
    <w:p>
      <w:pPr>
        <w:pStyle w:val="Normal"/>
        <w:jc w:val="center"/>
        <w:rPr/>
      </w:pPr>
      <w:r>
        <w:rPr/>
        <w:drawing>
          <wp:inline distT="0" distB="0" distL="0" distR="0">
            <wp:extent cx="5334000" cy="3333750"/>
            <wp:effectExtent l="0" t="0" r="0" b="0"/>
            <wp:docPr id="16" name="Image16" descr="Onglet Classes : une classe par niveau et par an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Onglet Classes : une classe par niveau et par année"/>
                    <pic:cNvPicPr>
                      <a:picLocks noChangeAspect="1" noChangeArrowheads="1"/>
                    </pic:cNvPicPr>
                  </pic:nvPicPr>
                  <pic:blipFill>
                    <a:blip r:embed="rId17"/>
                    <a:stretch>
                      <a:fillRect/>
                    </a:stretch>
                  </pic:blipFill>
                  <pic:spPr bwMode="auto">
                    <a:xfrm>
                      <a:off x="0" y="0"/>
                      <a:ext cx="5334000" cy="3333750"/>
                    </a:xfrm>
                    <a:prstGeom prst="rect">
                      <a:avLst/>
                    </a:prstGeom>
                  </pic:spPr>
                </pic:pic>
              </a:graphicData>
            </a:graphic>
          </wp:inline>
        </w:drawing>
      </w:r>
    </w:p>
    <w:p>
      <w:pPr>
        <w:pStyle w:val="ImageCaption"/>
        <w:rPr/>
      </w:pPr>
      <w:r>
        <w:rPr/>
        <w:t>Onglet Classes : une classe par niveau et par année</w:t>
      </w:r>
    </w:p>
    <w:p>
      <w:pPr>
        <w:pStyle w:val="BodyText"/>
        <w:rPr/>
      </w:pPr>
      <w:r>
        <w:rPr/>
        <w:t>Une classe = un niveau d’une spécialité pour une année académique. C’est l’unité utilisée partout : inscriptions, frais, emplois du temps, notes.</w:t>
      </w:r>
    </w:p>
    <w:p>
      <w:pPr>
        <w:pStyle w:val="Compact"/>
        <w:numPr>
          <w:ilvl w:val="0"/>
          <w:numId w:val="211"/>
        </w:numPr>
        <w:rPr/>
      </w:pPr>
      <w:r>
        <w:rPr/>
        <w:t xml:space="preserve">Les classes sont normalement </w:t>
      </w:r>
      <w:r>
        <w:rPr>
          <w:b/>
          <w:bCs/>
        </w:rPr>
        <w:t>créées automatiquement</w:t>
      </w:r>
      <w:r>
        <w:rPr/>
        <w:t>.</w:t>
      </w:r>
    </w:p>
    <w:p>
      <w:pPr>
        <w:pStyle w:val="Compact"/>
        <w:numPr>
          <w:ilvl w:val="0"/>
          <w:numId w:val="212"/>
        </w:numPr>
        <w:rPr/>
      </w:pPr>
      <w:bookmarkStart w:id="81" w:name="onglet-classes"/>
      <w:r>
        <w:rPr/>
        <w:t>Vous pouvez en ajouter une à la main (par exemple un groupe B).</w:t>
      </w:r>
      <w:bookmarkEnd w:id="81"/>
    </w:p>
    <w:p>
      <w:pPr>
        <w:pStyle w:val="Heading3"/>
        <w:rPr/>
      </w:pPr>
      <w:bookmarkStart w:id="82" w:name="onglet-années-académiques"/>
      <w:r>
        <w:rPr/>
        <w:t xml:space="preserve">Onglet </w:t>
      </w:r>
      <w:r>
        <w:rPr>
          <w:i/>
          <w:iCs/>
        </w:rPr>
        <w:t>Années Académiques</w:t>
      </w:r>
    </w:p>
    <w:p>
      <w:pPr>
        <w:pStyle w:val="Normal"/>
        <w:jc w:val="center"/>
        <w:rPr/>
      </w:pPr>
      <w:r>
        <w:rPr/>
        <w:drawing>
          <wp:inline distT="0" distB="0" distL="0" distR="0">
            <wp:extent cx="5334000" cy="3333750"/>
            <wp:effectExtent l="0" t="0" r="0" b="0"/>
            <wp:docPr id="17" name="Image17" descr="Onglet Années Académiques : une seule année 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Onglet Années Académiques : une seule année active"/>
                    <pic:cNvPicPr>
                      <a:picLocks noChangeAspect="1" noChangeArrowheads="1"/>
                    </pic:cNvPicPr>
                  </pic:nvPicPr>
                  <pic:blipFill>
                    <a:blip r:embed="rId18"/>
                    <a:stretch>
                      <a:fillRect/>
                    </a:stretch>
                  </pic:blipFill>
                  <pic:spPr bwMode="auto">
                    <a:xfrm>
                      <a:off x="0" y="0"/>
                      <a:ext cx="5334000" cy="3333750"/>
                    </a:xfrm>
                    <a:prstGeom prst="rect">
                      <a:avLst/>
                    </a:prstGeom>
                  </pic:spPr>
                </pic:pic>
              </a:graphicData>
            </a:graphic>
          </wp:inline>
        </w:drawing>
      </w:r>
    </w:p>
    <w:p>
      <w:pPr>
        <w:pStyle w:val="ImageCaption"/>
        <w:rPr/>
      </w:pPr>
      <w:r>
        <w:rPr/>
        <w:t>Onglet Années Académiques : une seule année active</w:t>
      </w:r>
    </w:p>
    <w:p>
      <w:pPr>
        <w:pStyle w:val="Normal"/>
        <w:jc w:val="center"/>
        <w:rPr/>
      </w:pPr>
      <w:r>
        <w:rPr/>
        <w:drawing>
          <wp:inline distT="0" distB="0" distL="0" distR="0">
            <wp:extent cx="5334000" cy="3333750"/>
            <wp:effectExtent l="0" t="0" r="0" b="0"/>
            <wp:docPr id="18" name="Image18" descr="Formulaire d’ajout d’une année académ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Formulaire d’ajout d’une année académique"/>
                    <pic:cNvPicPr>
                      <a:picLocks noChangeAspect="1" noChangeArrowheads="1"/>
                    </pic:cNvPicPr>
                  </pic:nvPicPr>
                  <pic:blipFill>
                    <a:blip r:embed="rId19"/>
                    <a:stretch>
                      <a:fillRect/>
                    </a:stretch>
                  </pic:blipFill>
                  <pic:spPr bwMode="auto">
                    <a:xfrm>
                      <a:off x="0" y="0"/>
                      <a:ext cx="5334000" cy="3333750"/>
                    </a:xfrm>
                    <a:prstGeom prst="rect">
                      <a:avLst/>
                    </a:prstGeom>
                  </pic:spPr>
                </pic:pic>
              </a:graphicData>
            </a:graphic>
          </wp:inline>
        </w:drawing>
      </w:r>
    </w:p>
    <w:p>
      <w:pPr>
        <w:pStyle w:val="ImageCaption"/>
        <w:rPr/>
      </w:pPr>
      <w:r>
        <w:rPr/>
        <w:t>Formulaire d’ajout d’une année académique</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422"/>
        <w:gridCol w:w="3071"/>
        <w:gridCol w:w="3145"/>
      </w:tblGrid>
      <w:tr>
        <w:trPr>
          <w:tblHeader w:val="true"/>
          <w:cantSplit w:val="true"/>
        </w:trPr>
        <w:tc>
          <w:tcPr>
            <w:tcW w:w="342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307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c>
          <w:tcPr>
            <w:tcW w:w="314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Remarque</w:t>
            </w:r>
          </w:p>
        </w:tc>
      </w:tr>
      <w:tr>
        <w:trPr>
          <w:cantSplit w:val="true"/>
        </w:trPr>
        <w:tc>
          <w:tcPr>
            <w:tcW w:w="34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Libellé (ex: 2024-2025)</w:t>
            </w:r>
          </w:p>
        </w:tc>
        <w:tc>
          <w:tcPr>
            <w:tcW w:w="30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2026-2027</w:t>
            </w:r>
          </w:p>
        </w:tc>
        <w:tc>
          <w:tcPr>
            <w:tcW w:w="314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Format AAAA-AAAA</w:t>
            </w:r>
          </w:p>
        </w:tc>
      </w:tr>
      <w:tr>
        <w:trPr>
          <w:cantSplit w:val="true"/>
        </w:trPr>
        <w:tc>
          <w:tcPr>
            <w:tcW w:w="34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Date Début / Date Fin</w:t>
            </w:r>
          </w:p>
        </w:tc>
        <w:tc>
          <w:tcPr>
            <w:tcW w:w="30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01/10/2026 – 31/07/2027</w:t>
            </w:r>
          </w:p>
        </w:tc>
        <w:tc>
          <w:tcPr>
            <w:tcW w:w="314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34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Est Active</w:t>
            </w:r>
          </w:p>
        </w:tc>
        <w:tc>
          <w:tcPr>
            <w:tcW w:w="307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coché</w:t>
            </w:r>
          </w:p>
        </w:tc>
        <w:tc>
          <w:tcPr>
            <w:tcW w:w="314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Une seule année active à la fois</w:t>
            </w:r>
          </w:p>
        </w:tc>
      </w:tr>
    </w:tbl>
    <w:p>
      <w:pPr>
        <w:pStyle w:val="BodyText"/>
        <w:rPr/>
      </w:pPr>
      <w:bookmarkStart w:id="83" w:name="onglet-années-académiques"/>
      <w:r>
        <w:rPr/>
        <w:t>Voir Démarrer une nouvelle année.</w:t>
      </w:r>
      <w:bookmarkEnd w:id="83"/>
    </w:p>
    <w:p>
      <w:pPr>
        <w:pStyle w:val="Heading3"/>
        <w:rPr/>
      </w:pPr>
      <w:bookmarkStart w:id="84" w:name="onglet-salles"/>
      <w:r>
        <w:rPr/>
        <w:t xml:space="preserve">Onglet </w:t>
      </w:r>
      <w:r>
        <w:rPr>
          <w:i/>
          <w:iCs/>
        </w:rPr>
        <w:t>Salles</w:t>
      </w:r>
    </w:p>
    <w:p>
      <w:pPr>
        <w:pStyle w:val="FirstParagraph"/>
        <w:rPr/>
      </w:pPr>
      <w:bookmarkStart w:id="85" w:name="administration-structure-académique"/>
      <w:bookmarkStart w:id="86" w:name="onglet-salles"/>
      <w:r>
        <w:rPr/>
        <w:t>Les salles de cours, utilisées par l’emploi du temps (qui empêche de réserver une salle deux fois au même moment). Champs : « Nom de la salle », « Capacité (optionnel) ».</w:t>
      </w:r>
      <w:bookmarkEnd w:id="85"/>
      <w:bookmarkEnd w:id="86"/>
    </w:p>
    <w:p>
      <w:pPr>
        <w:pStyle w:val="Heading2"/>
        <w:rPr/>
      </w:pPr>
      <w:bookmarkStart w:id="87" w:name="__RefHeading___Toc15154_1458957718"/>
      <w:bookmarkStart w:id="88" w:name="administration-cours-et-modules"/>
      <w:bookmarkEnd w:id="87"/>
      <w:r>
        <w:rPr/>
        <w:t>Administration — Cours et modules</w:t>
      </w:r>
    </w:p>
    <w:p>
      <w:pPr>
        <w:pStyle w:val="FirstParagraph"/>
        <w:rPr/>
      </w:pPr>
      <w:r>
        <w:rPr>
          <w:b/>
          <w:bCs/>
        </w:rPr>
        <w:t>Menu :</w:t>
      </w:r>
      <w:r>
        <w:rPr/>
        <w:t xml:space="preserve"> Pédagogie → Cours — </w:t>
      </w:r>
      <w:r>
        <w:rPr>
          <w:b/>
          <w:bCs/>
        </w:rPr>
        <w:t>Accès :</w:t>
      </w:r>
      <w:r>
        <w:rPr/>
        <w:t xml:space="preserve"> domaine </w:t>
      </w:r>
      <w:r>
        <w:rPr>
          <w:i/>
          <w:iCs/>
        </w:rPr>
        <w:t>Pédagogie</w:t>
      </w:r>
      <w:r>
        <w:rPr/>
        <w:t>.</w:t>
      </w:r>
    </w:p>
    <w:p>
      <w:pPr>
        <w:pStyle w:val="BodyText"/>
        <w:rPr/>
      </w:pPr>
      <w:r>
        <w:rPr/>
        <w:t xml:space="preserve">Un </w:t>
      </w:r>
      <w:r>
        <w:rPr>
          <w:b/>
          <w:bCs/>
        </w:rPr>
        <w:t>cours</w:t>
      </w:r>
      <w:r>
        <w:rPr/>
        <w:t xml:space="preserve"> (ou module, ou matière) est une unité d’enseignement notée : </w:t>
      </w:r>
      <w:r>
        <w:rPr>
          <w:i/>
          <w:iCs/>
        </w:rPr>
        <w:t>Algorithmique</w:t>
      </w:r>
      <w:r>
        <w:rPr/>
        <w:t xml:space="preserve">, </w:t>
      </w:r>
      <w:r>
        <w:rPr>
          <w:i/>
          <w:iCs/>
        </w:rPr>
        <w:t>Comptabilité générale</w:t>
      </w:r>
      <w:r>
        <w:rPr/>
        <w:t>… Les cours sont utilisés par l’emploi du temps, la saisie des notes, les relevés, les épreuves et les documents de cours.</w:t>
      </w:r>
    </w:p>
    <w:p>
      <w:pPr>
        <w:pStyle w:val="Heading3"/>
        <w:rPr/>
      </w:pPr>
      <w:bookmarkStart w:id="89" w:name="créer-un-cours"/>
      <w:r>
        <w:rPr/>
        <w:t>Créer un cours</w:t>
      </w:r>
    </w:p>
    <w:p>
      <w:pPr>
        <w:pStyle w:val="Normal"/>
        <w:jc w:val="center"/>
        <w:rPr/>
      </w:pPr>
      <w:r>
        <w:rPr/>
        <w:drawing>
          <wp:inline distT="0" distB="0" distL="0" distR="0">
            <wp:extent cx="5334000" cy="3333750"/>
            <wp:effectExtent l="0" t="0" r="0" b="0"/>
            <wp:docPr id="19" name="Image19" descr="La liste des cours, avec le bouton « Nouveau co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La liste des cours, avec le bouton « Nouveau cours »"/>
                    <pic:cNvPicPr>
                      <a:picLocks noChangeAspect="1" noChangeArrowheads="1"/>
                    </pic:cNvPicPr>
                  </pic:nvPicPr>
                  <pic:blipFill>
                    <a:blip r:embed="rId20"/>
                    <a:stretch>
                      <a:fillRect/>
                    </a:stretch>
                  </pic:blipFill>
                  <pic:spPr bwMode="auto">
                    <a:xfrm>
                      <a:off x="0" y="0"/>
                      <a:ext cx="5334000" cy="3333750"/>
                    </a:xfrm>
                    <a:prstGeom prst="rect">
                      <a:avLst/>
                    </a:prstGeom>
                  </pic:spPr>
                </pic:pic>
              </a:graphicData>
            </a:graphic>
          </wp:inline>
        </w:drawing>
      </w:r>
    </w:p>
    <w:p>
      <w:pPr>
        <w:pStyle w:val="ImageCaption"/>
        <w:rPr/>
      </w:pPr>
      <w:r>
        <w:rPr/>
        <w:t>La liste des cours, avec le bouton « Nouveau cours »</w:t>
      </w:r>
    </w:p>
    <w:p>
      <w:pPr>
        <w:pStyle w:val="Normal"/>
        <w:jc w:val="center"/>
        <w:rPr/>
      </w:pPr>
      <w:r>
        <w:rPr/>
        <w:drawing>
          <wp:inline distT="0" distB="0" distL="0" distR="0">
            <wp:extent cx="5334000" cy="3333750"/>
            <wp:effectExtent l="0" t="0" r="0" b="0"/>
            <wp:docPr id="20" name="Image20" descr="Le formulaire « Ajouter un co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Le formulaire « Ajouter un cours »"/>
                    <pic:cNvPicPr>
                      <a:picLocks noChangeAspect="1" noChangeArrowheads="1"/>
                    </pic:cNvPicPr>
                  </pic:nvPicPr>
                  <pic:blipFill>
                    <a:blip r:embed="rId21"/>
                    <a:stretch>
                      <a:fillRect/>
                    </a:stretch>
                  </pic:blipFill>
                  <pic:spPr bwMode="auto">
                    <a:xfrm>
                      <a:off x="0" y="0"/>
                      <a:ext cx="5334000" cy="3333750"/>
                    </a:xfrm>
                    <a:prstGeom prst="rect">
                      <a:avLst/>
                    </a:prstGeom>
                  </pic:spPr>
                </pic:pic>
              </a:graphicData>
            </a:graphic>
          </wp:inline>
        </w:drawing>
      </w:r>
    </w:p>
    <w:p>
      <w:pPr>
        <w:pStyle w:val="ImageCaption"/>
        <w:rPr/>
      </w:pPr>
      <w:r>
        <w:rPr/>
        <w:t>Le formulaire « Ajouter un cours »</w:t>
      </w:r>
    </w:p>
    <w:p>
      <w:pPr>
        <w:pStyle w:val="Normal"/>
        <w:numPr>
          <w:ilvl w:val="0"/>
          <w:numId w:val="213"/>
        </w:numPr>
        <w:rPr/>
      </w:pPr>
      <w:r>
        <w:rPr/>
        <w:t xml:space="preserve">Cliquez sur </w:t>
      </w:r>
      <w:r>
        <w:rPr>
          <w:b/>
          <w:bCs/>
        </w:rPr>
        <w:t>Nouveau cours</w:t>
      </w:r>
      <w:r>
        <w:rPr/>
        <w:t>.</w:t>
      </w:r>
    </w:p>
    <w:p>
      <w:pPr>
        <w:pStyle w:val="Normal"/>
        <w:numPr>
          <w:ilvl w:val="0"/>
          <w:numId w:val="214"/>
        </w:numPr>
        <w:rPr/>
      </w:pPr>
      <w:r>
        <w:rPr/>
        <w:t>Remplissez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2440"/>
        <w:gridCol w:w="2650"/>
        <w:gridCol w:w="4548"/>
      </w:tblGrid>
      <w:tr>
        <w:trPr>
          <w:tblHeader w:val="true"/>
          <w:cantSplit w:val="true"/>
        </w:trPr>
        <w:tc>
          <w:tcPr>
            <w:tcW w:w="244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265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c>
          <w:tcPr>
            <w:tcW w:w="454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Utilité</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du cours</w:t>
            </w:r>
          </w:p>
        </w:tc>
        <w:tc>
          <w:tcPr>
            <w:tcW w:w="2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Algorithmique</w:t>
            </w:r>
          </w:p>
        </w:tc>
        <w:tc>
          <w:tcPr>
            <w:tcW w:w="45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Affiché partout.</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Classes rattachées</w:t>
            </w:r>
          </w:p>
        </w:tc>
        <w:tc>
          <w:tcPr>
            <w:tcW w:w="2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Développement Web Licence 1</w:t>
            </w:r>
          </w:p>
        </w:tc>
        <w:tc>
          <w:tcPr>
            <w:tcW w:w="45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Classes qui suivent ce cours (plusieurs possibles). Le cours est proposé pour ces classes dans les listes (notes, emploi du temps).</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Durée (heures)</w:t>
            </w:r>
          </w:p>
        </w:tc>
        <w:tc>
          <w:tcPr>
            <w:tcW w:w="2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60</w:t>
            </w:r>
          </w:p>
        </w:tc>
        <w:tc>
          <w:tcPr>
            <w:tcW w:w="45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Volume horaire prévu.</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Coefficient</w:t>
            </w:r>
          </w:p>
        </w:tc>
        <w:tc>
          <w:tcPr>
            <w:tcW w:w="2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3</w:t>
            </w:r>
          </w:p>
        </w:tc>
        <w:tc>
          <w:tcPr>
            <w:tcW w:w="45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Poids du cours dans la moyenne.</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Semestre</w:t>
            </w:r>
          </w:p>
        </w:tc>
        <w:tc>
          <w:tcPr>
            <w:tcW w:w="2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Semestre 1</w:t>
            </w:r>
          </w:p>
        </w:tc>
        <w:tc>
          <w:tcPr>
            <w:tcW w:w="45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Période du cours ; sert à filtrer les relevés.</w:t>
            </w:r>
          </w:p>
        </w:tc>
      </w:tr>
    </w:tbl>
    <w:p>
      <w:pPr>
        <w:pStyle w:val="Normal"/>
        <w:numPr>
          <w:ilvl w:val="0"/>
          <w:numId w:val="215"/>
        </w:numPr>
        <w:rPr/>
      </w:pPr>
      <w:r>
        <w:rPr/>
        <w:t xml:space="preserve">Cliquez sur </w:t>
      </w:r>
      <w:r>
        <w:rPr>
          <w:b/>
          <w:bCs/>
        </w:rPr>
        <w:t>Enregistrer</w:t>
      </w:r>
      <w:r>
        <w:rPr/>
        <w:t>.</w:t>
      </w:r>
      <w:bookmarkEnd w:id="89"/>
    </w:p>
    <w:p>
      <w:pPr>
        <w:pStyle w:val="Heading3"/>
        <w:rPr/>
      </w:pPr>
      <w:bookmarkStart w:id="90" w:name="modifier-ou-supprimer"/>
      <w:r>
        <w:rPr/>
        <w:t>Modifier ou supprimer</w:t>
      </w:r>
    </w:p>
    <w:p>
      <w:pPr>
        <w:pStyle w:val="FirstParagraph"/>
        <w:rPr/>
      </w:pPr>
      <w:bookmarkStart w:id="91" w:name="modifier-ou-supprimer"/>
      <w:r>
        <w:rPr/>
        <w:t>Utilisez le crayon (modifier) ou la corbeille (supprimer). Supprimer un cours qui a déjà des notes est déconseillé.</w:t>
      </w:r>
      <w:bookmarkEnd w:id="91"/>
    </w:p>
    <w:p>
      <w:pPr>
        <w:pStyle w:val="Heading3"/>
        <w:rPr/>
      </w:pPr>
      <w:bookmarkStart w:id="92" w:name="affecter-un-formateur-à-un-cours"/>
      <w:r>
        <w:rPr/>
        <w:t>Affecter un formateur à un cours</w:t>
      </w:r>
    </w:p>
    <w:p>
      <w:pPr>
        <w:pStyle w:val="FirstParagraph"/>
        <w:rPr/>
      </w:pPr>
      <w:r>
        <w:rPr/>
        <w:t>L’affectation se fait de deux façons :</w:t>
      </w:r>
    </w:p>
    <w:p>
      <w:pPr>
        <w:pStyle w:val="Compact"/>
        <w:numPr>
          <w:ilvl w:val="0"/>
          <w:numId w:val="216"/>
        </w:numPr>
        <w:rPr/>
      </w:pPr>
      <w:r>
        <w:rPr>
          <w:b/>
          <w:bCs/>
        </w:rPr>
        <w:t>méthode recommandée</w:t>
      </w:r>
      <w:r>
        <w:rPr/>
        <w:t xml:space="preserve"> : en créant un </w:t>
      </w:r>
      <w:r>
        <w:rPr>
          <w:b/>
          <w:bCs/>
        </w:rPr>
        <w:t>créneau d’emploi du temps</w:t>
      </w:r>
      <w:r>
        <w:rPr/>
        <w:t xml:space="preserve"> (cours + classe + formateur), voir Emploi du temps ;</w:t>
      </w:r>
    </w:p>
    <w:p>
      <w:pPr>
        <w:pStyle w:val="Compact"/>
        <w:numPr>
          <w:ilvl w:val="0"/>
          <w:numId w:val="217"/>
        </w:numPr>
        <w:rPr/>
      </w:pPr>
      <w:r>
        <w:rPr/>
        <w:t xml:space="preserve">à défaut de créneau : en renseignant les </w:t>
      </w:r>
      <w:r>
        <w:rPr>
          <w:b/>
          <w:bCs/>
        </w:rPr>
        <w:t>Spécialités (Modules)</w:t>
      </w:r>
      <w:r>
        <w:rPr/>
        <w:t xml:space="preserve"> du formateur dans sa fiche (voir Enseignants) ; le formateur est alors rattaché à toutes les classes rattachées à ces cours.</w:t>
      </w:r>
    </w:p>
    <w:p>
      <w:pPr>
        <w:pStyle w:val="FirstParagraph"/>
        <w:rPr/>
      </w:pPr>
      <w:r>
        <w:rPr/>
        <w:t xml:space="preserve">Le formateur voit alors la classe dans </w:t>
      </w:r>
      <w:r>
        <w:rPr>
          <w:b/>
          <w:bCs/>
        </w:rPr>
        <w:t>Mes Classes</w:t>
      </w:r>
      <w:r>
        <w:rPr/>
        <w:t xml:space="preserve"> et peut saisir les notes de ce cours.</w:t>
      </w:r>
      <w:bookmarkEnd w:id="88"/>
      <w:bookmarkEnd w:id="92"/>
    </w:p>
    <w:p>
      <w:pPr>
        <w:pStyle w:val="Heading2"/>
        <w:rPr/>
      </w:pPr>
      <w:bookmarkStart w:id="93" w:name="__RefHeading___Toc15156_1458957718"/>
      <w:bookmarkStart w:id="94" w:name="administration-étudiants"/>
      <w:bookmarkEnd w:id="93"/>
      <w:r>
        <w:rPr/>
        <w:t>Administration — Étudiants</w:t>
      </w:r>
    </w:p>
    <w:p>
      <w:pPr>
        <w:pStyle w:val="FirstParagraph"/>
        <w:rPr/>
      </w:pPr>
      <w:r>
        <w:rPr>
          <w:b/>
          <w:bCs/>
        </w:rPr>
        <w:t>Menu :</w:t>
      </w:r>
      <w:r>
        <w:rPr/>
        <w:t xml:space="preserve"> Étudiants — </w:t>
      </w:r>
      <w:r>
        <w:rPr>
          <w:b/>
          <w:bCs/>
        </w:rPr>
        <w:t>Accès :</w:t>
      </w:r>
      <w:r>
        <w:rPr/>
        <w:t xml:space="preserve"> domaine </w:t>
      </w:r>
      <w:r>
        <w:rPr>
          <w:i/>
          <w:iCs/>
        </w:rPr>
        <w:t>Étudiants</w:t>
      </w:r>
      <w:r>
        <w:rPr/>
        <w:t xml:space="preserve"> (Écriture pour ajouter, modifier ou supprimer).</w:t>
      </w:r>
    </w:p>
    <w:p>
      <w:pPr>
        <w:pStyle w:val="BodyText"/>
        <w:rPr/>
      </w:pPr>
      <w:r>
        <w:rPr/>
        <w:t>La page « Liste des étudiants » regroupe tous les dossiers étudiants de l’année sélectionnée.</w:t>
      </w:r>
    </w:p>
    <w:p>
      <w:pPr>
        <w:pStyle w:val="Heading3"/>
        <w:rPr/>
      </w:pPr>
      <w:bookmarkStart w:id="95" w:name="trouver-un-étudiant"/>
      <w:r>
        <w:rPr/>
        <w:t>Trouver un étudiant</w:t>
      </w:r>
    </w:p>
    <w:p>
      <w:pPr>
        <w:pStyle w:val="Normal"/>
        <w:jc w:val="center"/>
        <w:rPr/>
      </w:pPr>
      <w:r>
        <w:rPr/>
        <w:drawing>
          <wp:inline distT="0" distB="0" distL="0" distR="0">
            <wp:extent cx="5334000" cy="3333750"/>
            <wp:effectExtent l="0" t="0" r="0" b="0"/>
            <wp:docPr id="21" name="Image21" descr="La liste des étudiants : (1) ajouter, (2) rechercher, (3) actions sur une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descr="La liste des étudiants : (1) ajouter, (2) rechercher, (3) actions sur une ligne"/>
                    <pic:cNvPicPr>
                      <a:picLocks noChangeAspect="1" noChangeArrowheads="1"/>
                    </pic:cNvPicPr>
                  </pic:nvPicPr>
                  <pic:blipFill>
                    <a:blip r:embed="rId22"/>
                    <a:stretch>
                      <a:fillRect/>
                    </a:stretch>
                  </pic:blipFill>
                  <pic:spPr bwMode="auto">
                    <a:xfrm>
                      <a:off x="0" y="0"/>
                      <a:ext cx="5334000" cy="3333750"/>
                    </a:xfrm>
                    <a:prstGeom prst="rect">
                      <a:avLst/>
                    </a:prstGeom>
                  </pic:spPr>
                </pic:pic>
              </a:graphicData>
            </a:graphic>
          </wp:inline>
        </w:drawing>
      </w:r>
    </w:p>
    <w:p>
      <w:pPr>
        <w:pStyle w:val="ImageCaption"/>
        <w:rPr/>
      </w:pPr>
      <w:r>
        <w:rPr/>
        <w:t>La liste des étudiants : (1) ajouter, (2) rechercher, (3) actions sur une ligne</w:t>
      </w:r>
    </w:p>
    <w:p>
      <w:pPr>
        <w:pStyle w:val="Compact"/>
        <w:numPr>
          <w:ilvl w:val="0"/>
          <w:numId w:val="218"/>
        </w:numPr>
        <w:rPr/>
      </w:pPr>
      <w:r>
        <w:rPr>
          <w:b/>
          <w:bCs/>
        </w:rPr>
        <w:t>Recherche</w:t>
      </w:r>
      <w:r>
        <w:rPr/>
        <w:t xml:space="preserve"> : tapez un nom, un matricule ou un email dans la case « Rechercher un étudiant… ». La liste se filtre au fur et à mesure.</w:t>
      </w:r>
    </w:p>
    <w:p>
      <w:pPr>
        <w:pStyle w:val="Compact"/>
        <w:numPr>
          <w:ilvl w:val="0"/>
          <w:numId w:val="219"/>
        </w:numPr>
        <w:rPr/>
      </w:pPr>
      <w:r>
        <w:rPr>
          <w:b/>
          <w:bCs/>
        </w:rPr>
        <w:t>Filtres</w:t>
      </w:r>
      <w:r>
        <w:rPr/>
        <w:t xml:space="preserve"> « Filière » et « Classe » au-dessus du tableau pour n’afficher qu’un groupe.</w:t>
      </w:r>
    </w:p>
    <w:p>
      <w:pPr>
        <w:pStyle w:val="Compact"/>
        <w:numPr>
          <w:ilvl w:val="0"/>
          <w:numId w:val="220"/>
        </w:numPr>
        <w:rPr/>
      </w:pPr>
      <w:bookmarkStart w:id="96" w:name="trouver-un-étudiant"/>
      <w:r>
        <w:rPr/>
        <w:t>Le tableau affiche : Matricule, Nom complet, Contact, Email, Filière, Classe, Actions.</w:t>
      </w:r>
      <w:bookmarkEnd w:id="96"/>
    </w:p>
    <w:p>
      <w:pPr>
        <w:pStyle w:val="Heading3"/>
        <w:rPr/>
      </w:pPr>
      <w:bookmarkStart w:id="97" w:name="ajouter-un-étudiant-inscription-directe"/>
      <w:r>
        <w:rPr/>
        <w:t>Ajouter un étudiant (inscription directe)</w:t>
      </w:r>
    </w:p>
    <w:p>
      <w:pPr>
        <w:pStyle w:val="Normal"/>
        <w:jc w:val="center"/>
        <w:rPr/>
      </w:pPr>
      <w:r>
        <w:rPr/>
        <w:drawing>
          <wp:inline distT="0" distB="0" distL="0" distR="0">
            <wp:extent cx="5334000" cy="3333750"/>
            <wp:effectExtent l="0" t="0" r="0" b="0"/>
            <wp:docPr id="22" name="Image22" descr="Le formulaire « Ajouter un étudi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descr="Le formulaire « Ajouter un étudiant »"/>
                    <pic:cNvPicPr>
                      <a:picLocks noChangeAspect="1" noChangeArrowheads="1"/>
                    </pic:cNvPicPr>
                  </pic:nvPicPr>
                  <pic:blipFill>
                    <a:blip r:embed="rId23"/>
                    <a:stretch>
                      <a:fillRect/>
                    </a:stretch>
                  </pic:blipFill>
                  <pic:spPr bwMode="auto">
                    <a:xfrm>
                      <a:off x="0" y="0"/>
                      <a:ext cx="5334000" cy="3333750"/>
                    </a:xfrm>
                    <a:prstGeom prst="rect">
                      <a:avLst/>
                    </a:prstGeom>
                  </pic:spPr>
                </pic:pic>
              </a:graphicData>
            </a:graphic>
          </wp:inline>
        </w:drawing>
      </w:r>
    </w:p>
    <w:p>
      <w:pPr>
        <w:pStyle w:val="ImageCaption"/>
        <w:rPr/>
      </w:pPr>
      <w:r>
        <w:rPr/>
        <w:t>Le formulaire « Ajouter un étudiant »</w:t>
      </w:r>
    </w:p>
    <w:p>
      <w:pPr>
        <w:pStyle w:val="BodyText"/>
        <w:rPr/>
      </w:pPr>
      <w:r>
        <w:rPr/>
        <w:t xml:space="preserve">À utiliser pour un étudiant qui n’est </w:t>
      </w:r>
      <w:r>
        <w:rPr>
          <w:b/>
          <w:bCs/>
        </w:rPr>
        <w:t>pas</w:t>
      </w:r>
      <w:r>
        <w:rPr/>
        <w:t xml:space="preserve"> passé par la préinscription en ligne. Sinon, utilisez Préinscriptions : l’étudiant y est créé automatiquement.</w:t>
      </w:r>
    </w:p>
    <w:p>
      <w:pPr>
        <w:pStyle w:val="Normal"/>
        <w:numPr>
          <w:ilvl w:val="0"/>
          <w:numId w:val="221"/>
        </w:numPr>
        <w:rPr/>
      </w:pPr>
      <w:r>
        <w:rPr/>
        <w:t xml:space="preserve">Cliquez sur </w:t>
      </w:r>
      <w:r>
        <w:rPr>
          <w:b/>
          <w:bCs/>
        </w:rPr>
        <w:t>Ajouter un étudiant</w:t>
      </w:r>
      <w:r>
        <w:rPr/>
        <w:t>.</w:t>
      </w:r>
    </w:p>
    <w:p>
      <w:pPr>
        <w:pStyle w:val="Normal"/>
        <w:numPr>
          <w:ilvl w:val="0"/>
          <w:numId w:val="222"/>
        </w:numPr>
        <w:rPr/>
      </w:pPr>
      <w:r>
        <w:rPr/>
        <w:t>Remplissez l’identité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2978"/>
        <w:gridCol w:w="6659"/>
      </w:tblGrid>
      <w:tr>
        <w:trPr>
          <w:tblHeader w:val="true"/>
          <w:cantSplit w:val="true"/>
        </w:trPr>
        <w:tc>
          <w:tcPr>
            <w:tcW w:w="297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665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Remarque</w:t>
            </w:r>
          </w:p>
        </w:tc>
      </w:tr>
      <w:tr>
        <w:trPr>
          <w:cantSplit w:val="true"/>
        </w:trPr>
        <w:tc>
          <w:tcPr>
            <w:tcW w:w="297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Matricule</w:t>
            </w:r>
          </w:p>
        </w:tc>
        <w:tc>
          <w:tcPr>
            <w:tcW w:w="665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Laissez vide : il est </w:t>
            </w:r>
            <w:r>
              <w:rPr>
                <w:rFonts w:eastAsia="Calibri" w:cs="Calibri"/>
                <w:b/>
                <w:bCs/>
                <w:kern w:val="0"/>
                <w:sz w:val="19"/>
                <w:szCs w:val="19"/>
                <w:lang w:val="fr-FR" w:eastAsia="en-US" w:bidi="ar-SA"/>
              </w:rPr>
              <w:t>généré automatiquement</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4 lettres de la filière-année-numéro</w:t>
            </w:r>
            <w:r>
              <w:rPr>
                <w:rFonts w:eastAsia="Calibri" w:cs="Calibri"/>
                <w:kern w:val="0"/>
                <w:sz w:val="19"/>
                <w:szCs w:val="19"/>
                <w:lang w:val="fr-FR" w:eastAsia="en-US" w:bidi="ar-SA"/>
              </w:rPr>
              <w:t xml:space="preserve">, ex. </w:t>
            </w:r>
            <w:r>
              <w:rPr>
                <w:rStyle w:val="VerbatimChar"/>
                <w:rFonts w:eastAsia="Calibri" w:cs="Calibri"/>
                <w:kern w:val="0"/>
                <w:lang w:val="fr-FR" w:eastAsia="en-US" w:bidi="ar-SA"/>
              </w:rPr>
              <w:t>GÉNI-2026-0007</w:t>
            </w:r>
            <w:r>
              <w:rPr>
                <w:rFonts w:eastAsia="Calibri" w:cs="Calibri"/>
                <w:kern w:val="0"/>
                <w:sz w:val="19"/>
                <w:szCs w:val="19"/>
                <w:lang w:val="fr-FR" w:eastAsia="en-US" w:bidi="ar-SA"/>
              </w:rPr>
              <w:t>).</w:t>
            </w:r>
          </w:p>
        </w:tc>
      </w:tr>
      <w:tr>
        <w:trPr>
          <w:cantSplit w:val="true"/>
        </w:trPr>
        <w:tc>
          <w:tcPr>
            <w:tcW w:w="297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complet</w:t>
            </w:r>
          </w:p>
        </w:tc>
        <w:tc>
          <w:tcPr>
            <w:tcW w:w="665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puis prénoms.</w:t>
            </w:r>
          </w:p>
        </w:tc>
      </w:tr>
      <w:tr>
        <w:trPr>
          <w:cantSplit w:val="true"/>
        </w:trPr>
        <w:tc>
          <w:tcPr>
            <w:tcW w:w="297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Date de naissance</w:t>
            </w:r>
          </w:p>
        </w:tc>
        <w:tc>
          <w:tcPr>
            <w:tcW w:w="665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297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Numéro de téléphone</w:t>
            </w:r>
          </w:p>
        </w:tc>
        <w:tc>
          <w:tcPr>
            <w:tcW w:w="665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297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Email</w:t>
            </w:r>
          </w:p>
        </w:tc>
        <w:tc>
          <w:tcPr>
            <w:tcW w:w="665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Doit être unique.</w:t>
            </w:r>
          </w:p>
        </w:tc>
      </w:tr>
      <w:tr>
        <w:trPr>
          <w:cantSplit w:val="true"/>
        </w:trPr>
        <w:tc>
          <w:tcPr>
            <w:tcW w:w="297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du parent / tuteur, WhatsApp du parent</w:t>
            </w:r>
          </w:p>
        </w:tc>
        <w:tc>
          <w:tcPr>
            <w:tcW w:w="665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Le WhatsApp sert aux notifications d’absence. Format conseillé : </w:t>
            </w:r>
            <w:r>
              <w:rPr>
                <w:rStyle w:val="VerbatimChar"/>
                <w:rFonts w:eastAsia="Calibri" w:cs="Calibri"/>
                <w:kern w:val="0"/>
                <w:lang w:val="fr-FR" w:eastAsia="en-US" w:bidi="ar-SA"/>
              </w:rPr>
              <w:t>+237 6XX XXX XXX</w:t>
            </w:r>
            <w:r>
              <w:rPr>
                <w:rFonts w:eastAsia="Calibri" w:cs="Calibri"/>
                <w:kern w:val="0"/>
                <w:sz w:val="19"/>
                <w:szCs w:val="19"/>
                <w:lang w:val="fr-FR" w:eastAsia="en-US" w:bidi="ar-SA"/>
              </w:rPr>
              <w:t>.</w:t>
            </w:r>
          </w:p>
        </w:tc>
      </w:tr>
    </w:tbl>
    <w:p>
      <w:pPr>
        <w:pStyle w:val="Normal"/>
        <w:numPr>
          <w:ilvl w:val="0"/>
          <w:numId w:val="223"/>
        </w:numPr>
        <w:rPr/>
      </w:pPr>
      <w:r>
        <w:rPr/>
        <w:t xml:space="preserve">Choisissez la </w:t>
      </w:r>
      <w:r>
        <w:rPr>
          <w:b/>
          <w:bCs/>
        </w:rPr>
        <w:t>Filière</w:t>
      </w:r>
      <w:r>
        <w:rPr/>
        <w:t>, puis la spécialité, le cycle et le niveau. Le message « Classe attribuée automatiquement : … » confirme la classe retenue.</w:t>
      </w:r>
    </w:p>
    <w:p>
      <w:pPr>
        <w:pStyle w:val="Normal"/>
        <w:numPr>
          <w:ilvl w:val="0"/>
          <w:numId w:val="224"/>
        </w:numPr>
        <w:rPr/>
      </w:pPr>
      <w:r>
        <w:rPr/>
        <w:t>Joignez éventuellement les documents : « Photo d’identité », « Acte de naissance », « CNI / Passeport », « Diplômes précédents (plusieurs possibles) ».</w:t>
      </w:r>
    </w:p>
    <w:p>
      <w:pPr>
        <w:pStyle w:val="Normal"/>
        <w:numPr>
          <w:ilvl w:val="0"/>
          <w:numId w:val="225"/>
        </w:numPr>
        <w:rPr/>
      </w:pPr>
      <w:r>
        <w:rPr/>
        <w:t xml:space="preserve">Cliquez sur </w:t>
      </w:r>
      <w:r>
        <w:rPr>
          <w:b/>
          <w:bCs/>
        </w:rPr>
        <w:t>Enregistrer</w:t>
      </w:r>
      <w:r>
        <w:rPr/>
        <w:t>.</w:t>
      </w:r>
    </w:p>
    <w:p>
      <w:pPr>
        <w:pStyle w:val="FirstParagraph"/>
        <w:rPr/>
      </w:pPr>
      <w:r>
        <w:rPr/>
        <w:t>L’étudiant est créé avec :</w:t>
      </w:r>
    </w:p>
    <w:p>
      <w:pPr>
        <w:pStyle w:val="Compact"/>
        <w:numPr>
          <w:ilvl w:val="0"/>
          <w:numId w:val="226"/>
        </w:numPr>
        <w:rPr/>
      </w:pPr>
      <w:r>
        <w:rPr/>
        <w:t xml:space="preserve">son </w:t>
      </w:r>
      <w:r>
        <w:rPr>
          <w:b/>
          <w:bCs/>
        </w:rPr>
        <w:t>inscription</w:t>
      </w:r>
      <w:r>
        <w:rPr/>
        <w:t xml:space="preserve"> dans la classe pour l’année active ;</w:t>
      </w:r>
    </w:p>
    <w:p>
      <w:pPr>
        <w:pStyle w:val="Compact"/>
        <w:numPr>
          <w:ilvl w:val="0"/>
          <w:numId w:val="227"/>
        </w:numPr>
        <w:rPr/>
      </w:pPr>
      <w:r>
        <w:rPr/>
        <w:t xml:space="preserve">son </w:t>
      </w:r>
      <w:r>
        <w:rPr>
          <w:b/>
          <w:bCs/>
        </w:rPr>
        <w:t>compte portail</w:t>
      </w:r>
      <w:r>
        <w:rPr/>
        <w:t xml:space="preserve"> (nom d’utilisateur et mot de passe initial générés automatiquement).</w:t>
      </w:r>
      <w:bookmarkEnd w:id="97"/>
    </w:p>
    <w:p>
      <w:pPr>
        <w:pStyle w:val="Heading3"/>
        <w:rPr/>
      </w:pPr>
      <w:bookmarkStart w:id="98" w:name="consulter-la-fiche-dun-étudiant"/>
      <w:bookmarkEnd w:id="98"/>
      <w:r>
        <w:rPr/>
        <w:t>Consulter la fiche d’un étudiant</w:t>
      </w:r>
    </w:p>
    <w:p>
      <w:pPr>
        <w:pStyle w:val="Normal"/>
        <w:jc w:val="center"/>
        <w:rPr/>
      </w:pPr>
      <w:r>
        <w:rPr/>
        <w:drawing>
          <wp:inline distT="0" distB="0" distL="0" distR="0">
            <wp:extent cx="5334000" cy="3333750"/>
            <wp:effectExtent l="0" t="0" r="0" b="0"/>
            <wp:docPr id="23" name="Image23" descr="Le panneau « Détails de l’étudi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descr="Le panneau « Détails de l’étudiant »"/>
                    <pic:cNvPicPr>
                      <a:picLocks noChangeAspect="1" noChangeArrowheads="1"/>
                    </pic:cNvPicPr>
                  </pic:nvPicPr>
                  <pic:blipFill>
                    <a:blip r:embed="rId24"/>
                    <a:stretch>
                      <a:fillRect/>
                    </a:stretch>
                  </pic:blipFill>
                  <pic:spPr bwMode="auto">
                    <a:xfrm>
                      <a:off x="0" y="0"/>
                      <a:ext cx="5334000" cy="3333750"/>
                    </a:xfrm>
                    <a:prstGeom prst="rect">
                      <a:avLst/>
                    </a:prstGeom>
                  </pic:spPr>
                </pic:pic>
              </a:graphicData>
            </a:graphic>
          </wp:inline>
        </w:drawing>
      </w:r>
    </w:p>
    <w:p>
      <w:pPr>
        <w:pStyle w:val="ImageCaption"/>
        <w:rPr/>
      </w:pPr>
      <w:r>
        <w:rPr/>
        <w:t>Le panneau « Détails de l’étudiant »</w:t>
      </w:r>
    </w:p>
    <w:p>
      <w:pPr>
        <w:pStyle w:val="Normal"/>
        <w:jc w:val="center"/>
        <w:rPr/>
      </w:pPr>
      <w:r>
        <w:rPr/>
        <w:drawing>
          <wp:inline distT="0" distB="0" distL="0" distR="0">
            <wp:extent cx="5334000" cy="3333750"/>
            <wp:effectExtent l="0" t="0" r="0" b="0"/>
            <wp:docPr id="24" name="Image24" descr="Bas du panneau : paiements et échéancier de l’étud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descr="Bas du panneau : paiements et échéancier de l’étudiant"/>
                    <pic:cNvPicPr>
                      <a:picLocks noChangeAspect="1" noChangeArrowheads="1"/>
                    </pic:cNvPicPr>
                  </pic:nvPicPr>
                  <pic:blipFill>
                    <a:blip r:embed="rId25"/>
                    <a:stretch>
                      <a:fillRect/>
                    </a:stretch>
                  </pic:blipFill>
                  <pic:spPr bwMode="auto">
                    <a:xfrm>
                      <a:off x="0" y="0"/>
                      <a:ext cx="5334000" cy="3333750"/>
                    </a:xfrm>
                    <a:prstGeom prst="rect">
                      <a:avLst/>
                    </a:prstGeom>
                  </pic:spPr>
                </pic:pic>
              </a:graphicData>
            </a:graphic>
          </wp:inline>
        </w:drawing>
      </w:r>
    </w:p>
    <w:p>
      <w:pPr>
        <w:pStyle w:val="ImageCaption"/>
        <w:rPr/>
      </w:pPr>
      <w:r>
        <w:rPr/>
        <w:t>Bas du panneau : paiements et échéancier de l’étudiant</w:t>
      </w:r>
    </w:p>
    <w:p>
      <w:pPr>
        <w:pStyle w:val="BodyText"/>
        <w:rPr/>
      </w:pPr>
      <w:r>
        <w:rPr/>
        <w:t xml:space="preserve">Cliquez sur l’icône </w:t>
      </w:r>
      <w:r>
        <w:rPr>
          <w:b/>
          <w:bCs/>
        </w:rPr>
        <w:t>Voir détails</w:t>
      </w:r>
      <w:r>
        <w:rPr/>
        <w:t xml:space="preserve"> (œil). Le panneau « Détails de l’étudiant » affiche :</w:t>
      </w:r>
    </w:p>
    <w:p>
      <w:pPr>
        <w:pStyle w:val="Compact"/>
        <w:numPr>
          <w:ilvl w:val="0"/>
          <w:numId w:val="228"/>
        </w:numPr>
        <w:rPr/>
      </w:pPr>
      <w:r>
        <w:rPr/>
        <w:t>l’identité, la filière, la classe, les documents ;</w:t>
      </w:r>
    </w:p>
    <w:p>
      <w:pPr>
        <w:pStyle w:val="Compact"/>
        <w:numPr>
          <w:ilvl w:val="0"/>
          <w:numId w:val="229"/>
        </w:numPr>
        <w:rPr/>
      </w:pPr>
      <w:r>
        <w:rPr/>
        <w:t xml:space="preserve">les </w:t>
      </w:r>
      <w:r>
        <w:rPr>
          <w:b/>
          <w:bCs/>
        </w:rPr>
        <w:t>paiements</w:t>
      </w:r>
      <w:r>
        <w:rPr/>
        <w:t xml:space="preserve"> enregistrés ;</w:t>
      </w:r>
    </w:p>
    <w:p>
      <w:pPr>
        <w:pStyle w:val="Compact"/>
        <w:numPr>
          <w:ilvl w:val="0"/>
          <w:numId w:val="230"/>
        </w:numPr>
        <w:rPr/>
      </w:pPr>
      <w:r>
        <w:rPr>
          <w:b/>
          <w:bCs/>
        </w:rPr>
        <w:t>Echeancier et alertes</w:t>
      </w:r>
      <w:r>
        <w:rPr/>
        <w:t xml:space="preserve"> : le plan de paiement de l’étudiant (étiquette </w:t>
      </w:r>
      <w:r>
        <w:rPr>
          <w:i/>
          <w:iCs/>
        </w:rPr>
        <w:t>Global</w:t>
      </w:r>
      <w:r>
        <w:rPr/>
        <w:t xml:space="preserve"> = échéancier de la classe, </w:t>
      </w:r>
      <w:r>
        <w:rPr>
          <w:i/>
          <w:iCs/>
        </w:rPr>
        <w:t>Personnel</w:t>
      </w:r>
      <w:r>
        <w:rPr/>
        <w:t xml:space="preserve"> = échéancier propre à l’étudiant) et le montant éventuellement en retard ;</w:t>
      </w:r>
    </w:p>
    <w:p>
      <w:pPr>
        <w:pStyle w:val="Compact"/>
        <w:numPr>
          <w:ilvl w:val="0"/>
          <w:numId w:val="231"/>
        </w:numPr>
        <w:rPr/>
      </w:pPr>
      <w:r>
        <w:rPr>
          <w:b/>
          <w:bCs/>
        </w:rPr>
        <w:t>Accès Portail Étudiant</w:t>
      </w:r>
      <w:r>
        <w:rPr/>
        <w:t xml:space="preserve"> : « Nom d’utilisateur » et « Mot de passe initial » à communiquer à l’étudiant.</w:t>
      </w:r>
    </w:p>
    <w:p>
      <w:pPr>
        <w:pStyle w:val="EncadreConseil"/>
        <w:rPr/>
      </w:pPr>
      <w:r>
        <w:rPr>
          <w:b/>
          <w:bCs/>
        </w:rPr>
        <w:t>Remettre ses identifiants à un étudiant</w:t>
      </w:r>
    </w:p>
    <w:p>
      <w:pPr>
        <w:pStyle w:val="EncadreConseil"/>
        <w:rPr/>
      </w:pPr>
      <w:r>
        <w:rPr/>
        <w:t xml:space="preserve">Ouvrez la fiche, recopiez le nom d’utilisateur et le mot de passe initial de la rubrique </w:t>
      </w:r>
      <w:r>
        <w:rPr>
          <w:i/>
          <w:iCs/>
        </w:rPr>
        <w:t>Accès Portail Étudiant</w:t>
      </w:r>
      <w:r>
        <w:rPr/>
        <w:t>. Si le mot de passe indique « Non disponible ou déjà modifié », demandez à un administrateur de le réinitialiser (</w:t>
      </w:r>
      <w:r>
        <w:rPr>
          <w:b/>
          <w:bCs/>
        </w:rPr>
        <w:t>Système</w:t>
      </w:r>
      <w:r>
        <w:rPr/>
        <w:t xml:space="preserve"> → </w:t>
      </w:r>
      <w:r>
        <w:rPr>
          <w:i/>
          <w:iCs/>
        </w:rPr>
        <w:t>Utilisateurs</w:t>
      </w:r>
      <w:r>
        <w:rPr/>
        <w:t>).</w:t>
      </w:r>
    </w:p>
    <w:p>
      <w:pPr>
        <w:pStyle w:val="Normal"/>
        <w:spacing w:before="0" w:after="60"/>
        <w:rPr>
          <w:sz w:val="8"/>
        </w:rPr>
      </w:pPr>
      <w:r>
        <w:rPr>
          <w:sz w:val="8"/>
        </w:rPr>
      </w:r>
      <w:bookmarkStart w:id="99" w:name="consulter-la-fiche-dun-étudiant"/>
      <w:bookmarkStart w:id="100" w:name="consulter-la-fiche-dun-étudiant"/>
      <w:bookmarkEnd w:id="100"/>
    </w:p>
    <w:p>
      <w:pPr>
        <w:pStyle w:val="Heading3"/>
        <w:rPr/>
      </w:pPr>
      <w:bookmarkStart w:id="101" w:name="X1f6eac4a053e61301c168b56d61b790ca66506b"/>
      <w:r>
        <w:rPr/>
        <w:t>Donner un échéancier personnalisé à un étudiant</w:t>
      </w:r>
    </w:p>
    <w:p>
      <w:pPr>
        <w:pStyle w:val="FirstParagraph"/>
        <w:rPr/>
      </w:pPr>
      <w:r>
        <w:rPr/>
        <w:t>Par défaut, l’étudiant suit l’échéancier de sa classe. Pour un arrangement particulier (paiement étalé, dates décalées) :</w:t>
      </w:r>
    </w:p>
    <w:p>
      <w:pPr>
        <w:pStyle w:val="Compact"/>
        <w:numPr>
          <w:ilvl w:val="0"/>
          <w:numId w:val="232"/>
        </w:numPr>
        <w:rPr/>
      </w:pPr>
      <w:r>
        <w:rPr/>
        <w:t>Ouvrez la fiche de l’étudiant.</w:t>
      </w:r>
    </w:p>
    <w:p>
      <w:pPr>
        <w:pStyle w:val="Compact"/>
        <w:numPr>
          <w:ilvl w:val="0"/>
          <w:numId w:val="233"/>
        </w:numPr>
        <w:rPr/>
      </w:pPr>
      <w:r>
        <w:rPr/>
        <w:t xml:space="preserve">Dans </w:t>
      </w:r>
      <w:r>
        <w:rPr>
          <w:i/>
          <w:iCs/>
        </w:rPr>
        <w:t>Echeancier et alertes</w:t>
      </w:r>
      <w:r>
        <w:rPr/>
        <w:t xml:space="preserve">, cliquez sur </w:t>
      </w:r>
      <w:r>
        <w:rPr>
          <w:b/>
          <w:bCs/>
        </w:rPr>
        <w:t>Configurer</w:t>
      </w:r>
      <w:r>
        <w:rPr/>
        <w:t>.</w:t>
      </w:r>
    </w:p>
    <w:p>
      <w:pPr>
        <w:pStyle w:val="Compact"/>
        <w:numPr>
          <w:ilvl w:val="0"/>
          <w:numId w:val="234"/>
        </w:numPr>
        <w:rPr/>
      </w:pPr>
      <w:r>
        <w:rPr/>
        <w:t xml:space="preserve">Dans la fenêtre « Echeancier personnalise », ajustez chaque tranche (Libelle, Montant, Echeance). </w:t>
      </w:r>
      <w:r>
        <w:rPr>
          <w:b/>
          <w:bCs/>
        </w:rPr>
        <w:t>Ajouter une tranche</w:t>
      </w:r>
      <w:r>
        <w:rPr/>
        <w:t xml:space="preserve"> en crée une nouvelle ; l’icône corbeille en retire une.</w:t>
      </w:r>
    </w:p>
    <w:p>
      <w:pPr>
        <w:pStyle w:val="Compact"/>
        <w:numPr>
          <w:ilvl w:val="0"/>
          <w:numId w:val="235"/>
        </w:numPr>
        <w:rPr/>
      </w:pPr>
      <w:r>
        <w:rPr/>
        <w:t>Enregistrez.</w:t>
      </w:r>
    </w:p>
    <w:p>
      <w:pPr>
        <w:pStyle w:val="FirstParagraph"/>
        <w:rPr/>
      </w:pPr>
      <w:r>
        <w:rPr/>
        <w:t xml:space="preserve">Pour revenir à l’échéancier de la classe, cliquez sur </w:t>
      </w:r>
      <w:r>
        <w:rPr>
          <w:b/>
          <w:bCs/>
        </w:rPr>
        <w:t>Revenir au global</w:t>
      </w:r>
      <w:r>
        <w:rPr/>
        <w:t>.</w:t>
      </w:r>
      <w:bookmarkEnd w:id="101"/>
    </w:p>
    <w:p>
      <w:pPr>
        <w:pStyle w:val="Heading3"/>
        <w:rPr/>
      </w:pPr>
      <w:bookmarkStart w:id="102" w:name="modifier-ou-supprimer-un-étudiant"/>
      <w:bookmarkEnd w:id="102"/>
      <w:r>
        <w:rPr/>
        <w:t>Modifier ou supprimer un étudiant</w:t>
      </w:r>
    </w:p>
    <w:p>
      <w:pPr>
        <w:pStyle w:val="Compact"/>
        <w:numPr>
          <w:ilvl w:val="0"/>
          <w:numId w:val="236"/>
        </w:numPr>
        <w:rPr/>
      </w:pPr>
      <w:r>
        <w:rPr/>
        <w:t xml:space="preserve">Icône </w:t>
      </w:r>
      <w:r>
        <w:rPr>
          <w:b/>
          <w:bCs/>
        </w:rPr>
        <w:t>Modifier</w:t>
      </w:r>
      <w:r>
        <w:rPr/>
        <w:t xml:space="preserve"> (crayon) : corrigez les informations puis enregistrez. Le mot de passe initial ne peut pas être modifié ici.</w:t>
      </w:r>
    </w:p>
    <w:p>
      <w:pPr>
        <w:pStyle w:val="Compact"/>
        <w:numPr>
          <w:ilvl w:val="0"/>
          <w:numId w:val="237"/>
        </w:numPr>
        <w:rPr/>
      </w:pPr>
      <w:r>
        <w:rPr/>
        <w:t xml:space="preserve">Icône </w:t>
      </w:r>
      <w:r>
        <w:rPr>
          <w:b/>
          <w:bCs/>
        </w:rPr>
        <w:t>Supprimer</w:t>
      </w:r>
      <w:r>
        <w:rPr/>
        <w:t xml:space="preserve"> (corbeille) puis confirmez.</w:t>
      </w:r>
    </w:p>
    <w:p>
      <w:pPr>
        <w:pStyle w:val="EncadreDanger"/>
        <w:rPr/>
      </w:pPr>
      <w:r>
        <w:rPr>
          <w:b/>
          <w:bCs/>
        </w:rPr>
        <w:t>Suppression</w:t>
      </w:r>
    </w:p>
    <w:p>
      <w:pPr>
        <w:pStyle w:val="EncadreDanger"/>
        <w:rPr/>
      </w:pPr>
      <w:r>
        <w:rPr/>
        <w:t>Supprimer un étudiant efface son dossier, ses inscriptions, notes et paiements. Pour un étudiant qui quitte l’établissement, conservez plutôt son dossier.</w:t>
      </w:r>
    </w:p>
    <w:p>
      <w:pPr>
        <w:pStyle w:val="Normal"/>
        <w:spacing w:before="0" w:after="60"/>
        <w:rPr>
          <w:sz w:val="8"/>
        </w:rPr>
      </w:pPr>
      <w:r>
        <w:rPr>
          <w:sz w:val="8"/>
        </w:rPr>
      </w:r>
      <w:bookmarkStart w:id="103" w:name="modifier-ou-supprimer-un-étudiant"/>
      <w:bookmarkStart w:id="104" w:name="modifier-ou-supprimer-un-étudiant"/>
      <w:bookmarkEnd w:id="104"/>
    </w:p>
    <w:p>
      <w:pPr>
        <w:pStyle w:val="Heading3"/>
        <w:rPr/>
      </w:pPr>
      <w:bookmarkStart w:id="105" w:name="X28f3ac3c450674b857b5a1abc572782ca8c7dfc"/>
      <w:r>
        <w:rPr/>
        <w:t>Carte étudiant et certificat de scolarité</w:t>
      </w:r>
    </w:p>
    <w:p>
      <w:pPr>
        <w:pStyle w:val="Normal"/>
        <w:jc w:val="center"/>
        <w:rPr/>
      </w:pPr>
      <w:r>
        <w:rPr/>
        <w:drawing>
          <wp:inline distT="0" distB="0" distL="0" distR="0">
            <wp:extent cx="5334000" cy="3333750"/>
            <wp:effectExtent l="0" t="0" r="0" b="0"/>
            <wp:docPr id="25" name="Image25" descr="La carte étudiant, prête à impr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descr="La carte étudiant, prête à imprimer"/>
                    <pic:cNvPicPr>
                      <a:picLocks noChangeAspect="1" noChangeArrowheads="1"/>
                    </pic:cNvPicPr>
                  </pic:nvPicPr>
                  <pic:blipFill>
                    <a:blip r:embed="rId26"/>
                    <a:stretch>
                      <a:fillRect/>
                    </a:stretch>
                  </pic:blipFill>
                  <pic:spPr bwMode="auto">
                    <a:xfrm>
                      <a:off x="0" y="0"/>
                      <a:ext cx="5334000" cy="3333750"/>
                    </a:xfrm>
                    <a:prstGeom prst="rect">
                      <a:avLst/>
                    </a:prstGeom>
                  </pic:spPr>
                </pic:pic>
              </a:graphicData>
            </a:graphic>
          </wp:inline>
        </w:drawing>
      </w:r>
    </w:p>
    <w:p>
      <w:pPr>
        <w:pStyle w:val="ImageCaption"/>
        <w:rPr/>
      </w:pPr>
      <w:r>
        <w:rPr/>
        <w:t>La carte étudiant, prête à imprimer</w:t>
      </w:r>
    </w:p>
    <w:p>
      <w:pPr>
        <w:pStyle w:val="Normal"/>
        <w:jc w:val="center"/>
        <w:rPr/>
      </w:pPr>
      <w:r>
        <w:rPr/>
        <w:drawing>
          <wp:inline distT="0" distB="0" distL="0" distR="0">
            <wp:extent cx="5334000" cy="3333750"/>
            <wp:effectExtent l="0" t="0" r="0" b="0"/>
            <wp:docPr id="26" name="Image26" descr="Le certificat de scola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descr="Le certificat de scolarité"/>
                    <pic:cNvPicPr>
                      <a:picLocks noChangeAspect="1" noChangeArrowheads="1"/>
                    </pic:cNvPicPr>
                  </pic:nvPicPr>
                  <pic:blipFill>
                    <a:blip r:embed="rId27"/>
                    <a:stretch>
                      <a:fillRect/>
                    </a:stretch>
                  </pic:blipFill>
                  <pic:spPr bwMode="auto">
                    <a:xfrm>
                      <a:off x="0" y="0"/>
                      <a:ext cx="5334000" cy="3333750"/>
                    </a:xfrm>
                    <a:prstGeom prst="rect">
                      <a:avLst/>
                    </a:prstGeom>
                  </pic:spPr>
                </pic:pic>
              </a:graphicData>
            </a:graphic>
          </wp:inline>
        </w:drawing>
      </w:r>
    </w:p>
    <w:p>
      <w:pPr>
        <w:pStyle w:val="ImageCaption"/>
        <w:rPr/>
      </w:pPr>
      <w:r>
        <w:rPr/>
        <w:t>Le certificat de scolarité</w:t>
      </w:r>
    </w:p>
    <w:p>
      <w:pPr>
        <w:pStyle w:val="BodyText"/>
        <w:rPr/>
      </w:pPr>
      <w:r>
        <w:rPr/>
        <w:t>Sur la ligne de l’étudiant :</w:t>
      </w:r>
    </w:p>
    <w:p>
      <w:pPr>
        <w:pStyle w:val="Compact"/>
        <w:numPr>
          <w:ilvl w:val="0"/>
          <w:numId w:val="238"/>
        </w:numPr>
        <w:rPr/>
      </w:pPr>
      <w:r>
        <w:rPr>
          <w:b/>
          <w:bCs/>
        </w:rPr>
        <w:t>Carte Étudiant</w:t>
      </w:r>
      <w:r>
        <w:rPr/>
        <w:t xml:space="preserve"> : aperçu de la carte (bouton pour basculer Recto / Verso), puis </w:t>
      </w:r>
      <w:r>
        <w:rPr>
          <w:b/>
          <w:bCs/>
        </w:rPr>
        <w:t>PDF Recto</w:t>
      </w:r>
      <w:r>
        <w:rPr/>
        <w:t xml:space="preserve">, </w:t>
      </w:r>
      <w:r>
        <w:rPr>
          <w:b/>
          <w:bCs/>
        </w:rPr>
        <w:t>PDF Verso</w:t>
      </w:r>
      <w:r>
        <w:rPr/>
        <w:t xml:space="preserve">, </w:t>
      </w:r>
      <w:r>
        <w:rPr>
          <w:b/>
          <w:bCs/>
        </w:rPr>
        <w:t>PDF Complet (Recto + Verso)</w:t>
      </w:r>
      <w:r>
        <w:rPr/>
        <w:t xml:space="preserve"> ou </w:t>
      </w:r>
      <w:r>
        <w:rPr>
          <w:b/>
          <w:bCs/>
        </w:rPr>
        <w:t>Imprimer</w:t>
      </w:r>
      <w:r>
        <w:rPr/>
        <w:t>.</w:t>
      </w:r>
    </w:p>
    <w:p>
      <w:pPr>
        <w:pStyle w:val="Compact"/>
        <w:numPr>
          <w:ilvl w:val="0"/>
          <w:numId w:val="239"/>
        </w:numPr>
        <w:rPr/>
      </w:pPr>
      <w:r>
        <w:rPr>
          <w:b/>
          <w:bCs/>
        </w:rPr>
        <w:t>Certificat de scolarité</w:t>
      </w:r>
      <w:r>
        <w:rPr/>
        <w:t xml:space="preserve"> : le certificat est généré avec les informations de l’établissement (nom, directeur… définis dans </w:t>
      </w:r>
      <w:r>
        <w:rPr>
          <w:b/>
          <w:bCs/>
        </w:rPr>
        <w:t>Système</w:t>
      </w:r>
      <w:r>
        <w:rPr/>
        <w:t xml:space="preserve"> → </w:t>
      </w:r>
      <w:r>
        <w:rPr>
          <w:i/>
          <w:iCs/>
        </w:rPr>
        <w:t>Apparence &amp; École</w:t>
      </w:r>
      <w:r>
        <w:rPr/>
        <w:t>), puis téléchargé ou imprimé.</w:t>
      </w:r>
      <w:bookmarkEnd w:id="105"/>
    </w:p>
    <w:p>
      <w:pPr>
        <w:pStyle w:val="Heading3"/>
        <w:rPr/>
      </w:pPr>
      <w:bookmarkStart w:id="106" w:name="exporter"/>
      <w:r>
        <w:rPr/>
        <w:t>Exporter</w:t>
      </w:r>
    </w:p>
    <w:p>
      <w:pPr>
        <w:pStyle w:val="Compact"/>
        <w:numPr>
          <w:ilvl w:val="0"/>
          <w:numId w:val="240"/>
        </w:numPr>
        <w:rPr/>
      </w:pPr>
      <w:r>
        <w:rPr>
          <w:b/>
          <w:bCs/>
        </w:rPr>
        <w:t>Exporter (Excel)</w:t>
      </w:r>
      <w:r>
        <w:rPr/>
        <w:t xml:space="preserve"> : la liste affichée (avec les filtres en cours) dans un fichier Excel.</w:t>
      </w:r>
    </w:p>
    <w:p>
      <w:pPr>
        <w:pStyle w:val="Compact"/>
        <w:numPr>
          <w:ilvl w:val="0"/>
          <w:numId w:val="241"/>
        </w:numPr>
        <w:rPr/>
      </w:pPr>
      <w:r>
        <w:rPr>
          <w:b/>
          <w:bCs/>
        </w:rPr>
        <w:t>Exporter par Tutelle</w:t>
      </w:r>
      <w:r>
        <w:rPr/>
        <w:t xml:space="preserve"> : export regroupé par université / organisme de tutelle.</w:t>
      </w:r>
      <w:bookmarkEnd w:id="94"/>
      <w:bookmarkEnd w:id="106"/>
    </w:p>
    <w:p>
      <w:pPr>
        <w:pStyle w:val="Heading2"/>
        <w:rPr/>
      </w:pPr>
      <w:bookmarkStart w:id="107" w:name="__RefHeading___Toc15158_1458957718"/>
      <w:bookmarkStart w:id="108" w:name="administration-enseignants-formateurs"/>
      <w:bookmarkEnd w:id="107"/>
      <w:r>
        <w:rPr/>
        <w:t>Administration — Enseignants (formateurs)</w:t>
      </w:r>
    </w:p>
    <w:p>
      <w:pPr>
        <w:pStyle w:val="FirstParagraph"/>
        <w:rPr/>
      </w:pPr>
      <w:r>
        <w:rPr>
          <w:b/>
          <w:bCs/>
        </w:rPr>
        <w:t>Menu :</w:t>
      </w:r>
      <w:r>
        <w:rPr/>
        <w:t xml:space="preserve"> Enseignants — </w:t>
      </w:r>
      <w:r>
        <w:rPr>
          <w:b/>
          <w:bCs/>
        </w:rPr>
        <w:t>Accès :</w:t>
      </w:r>
      <w:r>
        <w:rPr/>
        <w:t xml:space="preserve"> domaine </w:t>
      </w:r>
      <w:r>
        <w:rPr>
          <w:i/>
          <w:iCs/>
        </w:rPr>
        <w:t>Ressources Humaines</w:t>
      </w:r>
      <w:r>
        <w:rPr/>
        <w:t>.</w:t>
      </w:r>
    </w:p>
    <w:p>
      <w:pPr>
        <w:pStyle w:val="BodyText"/>
        <w:rPr/>
      </w:pPr>
      <w:r>
        <w:rPr/>
        <w:t xml:space="preserve">La page « Gestion des Formateurs » contient tous les enseignants, qu’ils soient </w:t>
      </w:r>
      <w:r>
        <w:rPr>
          <w:b/>
          <w:bCs/>
        </w:rPr>
        <w:t>permanents</w:t>
      </w:r>
      <w:r>
        <w:rPr/>
        <w:t xml:space="preserve"> (salaire mensuel fixe) ou </w:t>
      </w:r>
      <w:r>
        <w:rPr>
          <w:b/>
          <w:bCs/>
        </w:rPr>
        <w:t>vacataires</w:t>
      </w:r>
      <w:r>
        <w:rPr/>
        <w:t xml:space="preserve"> (payés à l’heure).</w:t>
      </w:r>
    </w:p>
    <w:p>
      <w:pPr>
        <w:pStyle w:val="Heading3"/>
        <w:rPr/>
      </w:pPr>
      <w:bookmarkStart w:id="109" w:name="ajouter-un-formateur"/>
      <w:bookmarkEnd w:id="109"/>
      <w:r>
        <w:rPr/>
        <w:t>Ajouter un formateur</w:t>
      </w:r>
    </w:p>
    <w:p>
      <w:pPr>
        <w:pStyle w:val="Normal"/>
        <w:jc w:val="center"/>
        <w:rPr/>
      </w:pPr>
      <w:r>
        <w:rPr/>
        <w:drawing>
          <wp:inline distT="0" distB="0" distL="0" distR="0">
            <wp:extent cx="5334000" cy="3333750"/>
            <wp:effectExtent l="0" t="0" r="0" b="0"/>
            <wp:docPr id="27" name="Image27" descr="La page « Gestion des Formate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descr="La page « Gestion des Formateurs »"/>
                    <pic:cNvPicPr>
                      <a:picLocks noChangeAspect="1" noChangeArrowheads="1"/>
                    </pic:cNvPicPr>
                  </pic:nvPicPr>
                  <pic:blipFill>
                    <a:blip r:embed="rId28"/>
                    <a:stretch>
                      <a:fillRect/>
                    </a:stretch>
                  </pic:blipFill>
                  <pic:spPr bwMode="auto">
                    <a:xfrm>
                      <a:off x="0" y="0"/>
                      <a:ext cx="5334000" cy="3333750"/>
                    </a:xfrm>
                    <a:prstGeom prst="rect">
                      <a:avLst/>
                    </a:prstGeom>
                  </pic:spPr>
                </pic:pic>
              </a:graphicData>
            </a:graphic>
          </wp:inline>
        </w:drawing>
      </w:r>
    </w:p>
    <w:p>
      <w:pPr>
        <w:pStyle w:val="ImageCaption"/>
        <w:rPr/>
      </w:pPr>
      <w:r>
        <w:rPr/>
        <w:t>La page « Gestion des Formateurs »</w:t>
      </w:r>
    </w:p>
    <w:p>
      <w:pPr>
        <w:pStyle w:val="Normal"/>
        <w:numPr>
          <w:ilvl w:val="0"/>
          <w:numId w:val="242"/>
        </w:numPr>
        <w:rPr/>
      </w:pPr>
      <w:r>
        <w:rPr/>
        <w:t xml:space="preserve">Cliquez sur </w:t>
      </w:r>
      <w:r>
        <w:rPr>
          <w:b/>
          <w:bCs/>
        </w:rPr>
        <w:t>Ajouter un formateur</w:t>
      </w:r>
      <w:r>
        <w:rPr/>
        <w:t>.</w:t>
      </w:r>
    </w:p>
    <w:p>
      <w:pPr>
        <w:pStyle w:val="Normal"/>
        <w:numPr>
          <w:ilvl w:val="0"/>
          <w:numId w:val="243"/>
        </w:numPr>
        <w:rPr/>
      </w:pPr>
      <w:r>
        <w:rPr/>
        <w:t>Remplissez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3906"/>
        <w:gridCol w:w="5731"/>
      </w:tblGrid>
      <w:tr>
        <w:trPr>
          <w:tblHeader w:val="true"/>
          <w:cantSplit w:val="true"/>
        </w:trPr>
        <w:tc>
          <w:tcPr>
            <w:tcW w:w="390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573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Remarque</w:t>
            </w:r>
          </w:p>
        </w:tc>
      </w:tr>
      <w:tr>
        <w:trPr>
          <w:cantSplit w:val="true"/>
        </w:trPr>
        <w:tc>
          <w:tcPr>
            <w:tcW w:w="39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complet</w:t>
            </w:r>
          </w:p>
        </w:tc>
        <w:tc>
          <w:tcPr>
            <w:tcW w:w="57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39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Email</w:t>
            </w:r>
          </w:p>
        </w:tc>
        <w:tc>
          <w:tcPr>
            <w:tcW w:w="57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Unique ; utilisé pour son compte portail.</w:t>
            </w:r>
          </w:p>
        </w:tc>
      </w:tr>
      <w:tr>
        <w:trPr>
          <w:cantSplit w:val="true"/>
        </w:trPr>
        <w:tc>
          <w:tcPr>
            <w:tcW w:w="39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Numéro</w:t>
            </w:r>
          </w:p>
        </w:tc>
        <w:tc>
          <w:tcPr>
            <w:tcW w:w="57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Téléphone.</w:t>
            </w:r>
          </w:p>
        </w:tc>
      </w:tr>
      <w:tr>
        <w:trPr>
          <w:cantSplit w:val="true"/>
        </w:trPr>
        <w:tc>
          <w:tcPr>
            <w:tcW w:w="39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Type de formateur</w:t>
            </w:r>
          </w:p>
        </w:tc>
        <w:tc>
          <w:tcPr>
            <w:tcW w:w="57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Permanent</w:t>
            </w:r>
            <w:r>
              <w:rPr>
                <w:rFonts w:eastAsia="Calibri" w:cs="Calibri"/>
                <w:kern w:val="0"/>
                <w:sz w:val="19"/>
                <w:szCs w:val="19"/>
                <w:lang w:val="fr-FR" w:eastAsia="en-US" w:bidi="ar-SA"/>
              </w:rPr>
              <w:t xml:space="preserve"> ou </w:t>
            </w:r>
            <w:r>
              <w:rPr>
                <w:rFonts w:eastAsia="Calibri" w:cs="Calibri"/>
                <w:b/>
                <w:bCs/>
                <w:kern w:val="0"/>
                <w:sz w:val="19"/>
                <w:szCs w:val="19"/>
                <w:lang w:val="fr-FR" w:eastAsia="en-US" w:bidi="ar-SA"/>
              </w:rPr>
              <w:t>Vacataire</w:t>
            </w:r>
            <w:r>
              <w:rPr>
                <w:rFonts w:eastAsia="Calibri" w:cs="Calibri"/>
                <w:kern w:val="0"/>
                <w:sz w:val="19"/>
                <w:szCs w:val="19"/>
                <w:lang w:val="fr-FR" w:eastAsia="en-US" w:bidi="ar-SA"/>
              </w:rPr>
              <w:t>.</w:t>
            </w:r>
          </w:p>
        </w:tc>
      </w:tr>
      <w:tr>
        <w:trPr>
          <w:cantSplit w:val="true"/>
        </w:trPr>
        <w:tc>
          <w:tcPr>
            <w:tcW w:w="39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Salaire mensuel</w:t>
            </w:r>
          </w:p>
        </w:tc>
        <w:tc>
          <w:tcPr>
            <w:tcW w:w="57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Affiché si </w:t>
            </w:r>
            <w:r>
              <w:rPr>
                <w:rFonts w:eastAsia="Calibri" w:cs="Calibri"/>
                <w:i/>
                <w:iCs/>
                <w:kern w:val="0"/>
                <w:sz w:val="19"/>
                <w:szCs w:val="19"/>
                <w:lang w:val="fr-FR" w:eastAsia="en-US" w:bidi="ar-SA"/>
              </w:rPr>
              <w:t>Permanent</w:t>
            </w:r>
            <w:r>
              <w:rPr>
                <w:rFonts w:eastAsia="Calibri" w:cs="Calibri"/>
                <w:kern w:val="0"/>
                <w:sz w:val="19"/>
                <w:szCs w:val="19"/>
                <w:lang w:val="fr-FR" w:eastAsia="en-US" w:bidi="ar-SA"/>
              </w:rPr>
              <w:t xml:space="preserve"> : montant brut mensuel (FCFA).</w:t>
            </w:r>
          </w:p>
        </w:tc>
      </w:tr>
      <w:tr>
        <w:trPr>
          <w:cantSplit w:val="true"/>
        </w:trPr>
        <w:tc>
          <w:tcPr>
            <w:tcW w:w="39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Taux horaire</w:t>
            </w:r>
          </w:p>
        </w:tc>
        <w:tc>
          <w:tcPr>
            <w:tcW w:w="57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Affiché si </w:t>
            </w:r>
            <w:r>
              <w:rPr>
                <w:rFonts w:eastAsia="Calibri" w:cs="Calibri"/>
                <w:i/>
                <w:iCs/>
                <w:kern w:val="0"/>
                <w:sz w:val="19"/>
                <w:szCs w:val="19"/>
                <w:lang w:val="fr-FR" w:eastAsia="en-US" w:bidi="ar-SA"/>
              </w:rPr>
              <w:t>Vacataire</w:t>
            </w:r>
            <w:r>
              <w:rPr>
                <w:rFonts w:eastAsia="Calibri" w:cs="Calibri"/>
                <w:kern w:val="0"/>
                <w:sz w:val="19"/>
                <w:szCs w:val="19"/>
                <w:lang w:val="fr-FR" w:eastAsia="en-US" w:bidi="ar-SA"/>
              </w:rPr>
              <w:t xml:space="preserve"> : montant payé par heure de cours effectuée (FCFA).</w:t>
            </w:r>
          </w:p>
        </w:tc>
      </w:tr>
      <w:tr>
        <w:trPr>
          <w:cantSplit w:val="true"/>
        </w:trPr>
        <w:tc>
          <w:tcPr>
            <w:tcW w:w="39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Spécialités (Modules)</w:t>
            </w:r>
          </w:p>
        </w:tc>
        <w:tc>
          <w:tcPr>
            <w:tcW w:w="57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Cours que ce formateur peut enseigner.</w:t>
            </w:r>
          </w:p>
        </w:tc>
      </w:tr>
    </w:tbl>
    <w:p>
      <w:pPr>
        <w:pStyle w:val="Normal"/>
        <w:numPr>
          <w:ilvl w:val="0"/>
          <w:numId w:val="244"/>
        </w:numPr>
        <w:rPr/>
      </w:pPr>
      <w:r>
        <w:rPr/>
        <w:t xml:space="preserve">Cliquez sur </w:t>
      </w:r>
      <w:r>
        <w:rPr>
          <w:b/>
          <w:bCs/>
        </w:rPr>
        <w:t>Enregistrer</w:t>
      </w:r>
      <w:r>
        <w:rPr/>
        <w:t>.</w:t>
      </w:r>
    </w:p>
    <w:p>
      <w:pPr>
        <w:pStyle w:val="EncadreInfo"/>
        <w:rPr/>
      </w:pPr>
      <w:r>
        <w:rPr>
          <w:b/>
          <w:bCs/>
        </w:rPr>
        <w:t>Permanent ou vacataire : quelle différence ?</w:t>
      </w:r>
    </w:p>
    <w:p>
      <w:pPr>
        <w:pStyle w:val="Compact"/>
        <w:numPr>
          <w:ilvl w:val="0"/>
          <w:numId w:val="245"/>
        </w:numPr>
        <w:rPr/>
      </w:pPr>
      <w:r>
        <w:rPr>
          <w:b/>
          <w:bCs/>
        </w:rPr>
        <w:t>Permanent</w:t>
      </w:r>
      <w:r>
        <w:rPr/>
        <w:t xml:space="preserve"> : la campagne de paie formateurs lui verse son salaire mensuel chaque mois.</w:t>
      </w:r>
    </w:p>
    <w:p>
      <w:pPr>
        <w:pStyle w:val="Compact"/>
        <w:numPr>
          <w:ilvl w:val="0"/>
          <w:numId w:val="246"/>
        </w:numPr>
        <w:rPr/>
      </w:pPr>
      <w:r>
        <w:rPr>
          <w:b/>
          <w:bCs/>
        </w:rPr>
        <w:t>Vacataire</w:t>
      </w:r>
      <w:r>
        <w:rPr/>
        <w:t xml:space="preserve"> : il est payé selon les </w:t>
      </w:r>
      <w:r>
        <w:rPr>
          <w:b/>
          <w:bCs/>
        </w:rPr>
        <w:t>heures réellement effectuées</w:t>
      </w:r>
      <w:r>
        <w:rPr/>
        <w:t>, pointées par le coordonnateur de sa filière puis validées par la finance (voir Heures des vacataires). Sans heure validée, il n’apparaît pas dans la campagne du mois.</w:t>
      </w:r>
    </w:p>
    <w:p>
      <w:pPr>
        <w:pStyle w:val="Normal"/>
        <w:spacing w:before="0" w:after="60"/>
        <w:rPr>
          <w:sz w:val="8"/>
        </w:rPr>
      </w:pPr>
      <w:r>
        <w:rPr>
          <w:sz w:val="8"/>
        </w:rPr>
      </w:r>
      <w:bookmarkStart w:id="110" w:name="ajouter-un-formateur"/>
      <w:bookmarkStart w:id="111" w:name="ajouter-un-formateur"/>
      <w:bookmarkEnd w:id="111"/>
    </w:p>
    <w:p>
      <w:pPr>
        <w:pStyle w:val="Heading3"/>
        <w:rPr/>
      </w:pPr>
      <w:bookmarkStart w:id="112" w:name="créer-le-compte-portail-dun-formateur"/>
      <w:r>
        <w:rPr/>
        <w:t>Créer le compte portail d’un formateur</w:t>
      </w:r>
    </w:p>
    <w:p>
      <w:pPr>
        <w:pStyle w:val="Normal"/>
        <w:jc w:val="center"/>
        <w:rPr/>
      </w:pPr>
      <w:r>
        <w:rPr/>
        <w:drawing>
          <wp:inline distT="0" distB="0" distL="0" distR="0">
            <wp:extent cx="5334000" cy="3333750"/>
            <wp:effectExtent l="0" t="0" r="0" b="0"/>
            <wp:docPr id="28" name="Image28" descr="Le panneau « Détails Formate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descr="Le panneau « Détails Formateur »"/>
                    <pic:cNvPicPr>
                      <a:picLocks noChangeAspect="1" noChangeArrowheads="1"/>
                    </pic:cNvPicPr>
                  </pic:nvPicPr>
                  <pic:blipFill>
                    <a:blip r:embed="rId29"/>
                    <a:stretch>
                      <a:fillRect/>
                    </a:stretch>
                  </pic:blipFill>
                  <pic:spPr bwMode="auto">
                    <a:xfrm>
                      <a:off x="0" y="0"/>
                      <a:ext cx="5334000" cy="3333750"/>
                    </a:xfrm>
                    <a:prstGeom prst="rect">
                      <a:avLst/>
                    </a:prstGeom>
                  </pic:spPr>
                </pic:pic>
              </a:graphicData>
            </a:graphic>
          </wp:inline>
        </w:drawing>
      </w:r>
    </w:p>
    <w:p>
      <w:pPr>
        <w:pStyle w:val="ImageCaption"/>
        <w:rPr/>
      </w:pPr>
      <w:r>
        <w:rPr/>
        <w:t>Le panneau « Détails Formateur »</w:t>
      </w:r>
    </w:p>
    <w:p>
      <w:pPr>
        <w:pStyle w:val="Normal"/>
        <w:jc w:val="center"/>
        <w:rPr/>
      </w:pPr>
      <w:r>
        <w:rPr/>
        <w:drawing>
          <wp:inline distT="0" distB="0" distL="0" distR="0">
            <wp:extent cx="5334000" cy="3333750"/>
            <wp:effectExtent l="0" t="0" r="0" b="0"/>
            <wp:docPr id="29" name="Image29" descr="La fenêtre « Identifiants du formateur » (mot de passe affiché une seule f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descr="La fenêtre « Identifiants du formateur » (mot de passe affiché une seule fois)"/>
                    <pic:cNvPicPr>
                      <a:picLocks noChangeAspect="1" noChangeArrowheads="1"/>
                    </pic:cNvPicPr>
                  </pic:nvPicPr>
                  <pic:blipFill>
                    <a:blip r:embed="rId30"/>
                    <a:stretch>
                      <a:fillRect/>
                    </a:stretch>
                  </pic:blipFill>
                  <pic:spPr bwMode="auto">
                    <a:xfrm>
                      <a:off x="0" y="0"/>
                      <a:ext cx="5334000" cy="3333750"/>
                    </a:xfrm>
                    <a:prstGeom prst="rect">
                      <a:avLst/>
                    </a:prstGeom>
                  </pic:spPr>
                </pic:pic>
              </a:graphicData>
            </a:graphic>
          </wp:inline>
        </w:drawing>
      </w:r>
    </w:p>
    <w:p>
      <w:pPr>
        <w:pStyle w:val="ImageCaption"/>
        <w:rPr/>
      </w:pPr>
      <w:r>
        <w:rPr/>
        <w:t>La fenêtre « Identifiants du formateur » (mot de passe affiché une seule fois)</w:t>
      </w:r>
    </w:p>
    <w:p>
      <w:pPr>
        <w:pStyle w:val="BodyText"/>
        <w:rPr/>
      </w:pPr>
      <w:r>
        <w:rPr/>
        <w:t>Sans compte, le formateur ne peut ni se connecter ni saisir de notes, et ne peut pas être coordonnateur.</w:t>
      </w:r>
    </w:p>
    <w:p>
      <w:pPr>
        <w:pStyle w:val="Compact"/>
        <w:numPr>
          <w:ilvl w:val="0"/>
          <w:numId w:val="247"/>
        </w:numPr>
        <w:rPr/>
      </w:pPr>
      <w:r>
        <w:rPr/>
        <w:t xml:space="preserve">Ouvrez la fiche du formateur (icône </w:t>
      </w:r>
      <w:r>
        <w:rPr>
          <w:b/>
          <w:bCs/>
        </w:rPr>
        <w:t>Voir détails</w:t>
      </w:r>
      <w:r>
        <w:rPr/>
        <w:t>) : le panneau « Détails Formateur » s’ouvre.</w:t>
      </w:r>
    </w:p>
    <w:p>
      <w:pPr>
        <w:pStyle w:val="Compact"/>
        <w:numPr>
          <w:ilvl w:val="0"/>
          <w:numId w:val="248"/>
        </w:numPr>
        <w:rPr/>
      </w:pPr>
      <w:r>
        <w:rPr/>
        <w:t xml:space="preserve">Cliquez sur </w:t>
      </w:r>
      <w:r>
        <w:rPr>
          <w:b/>
          <w:bCs/>
        </w:rPr>
        <w:t>Générer un compte portail</w:t>
      </w:r>
      <w:r>
        <w:rPr/>
        <w:t>.</w:t>
      </w:r>
    </w:p>
    <w:p>
      <w:pPr>
        <w:pStyle w:val="Compact"/>
        <w:numPr>
          <w:ilvl w:val="0"/>
          <w:numId w:val="249"/>
        </w:numPr>
        <w:rPr/>
      </w:pPr>
      <w:r>
        <w:rPr/>
        <w:t xml:space="preserve">La fenêtre « Identifiants du formateur » affiche son nom d’utilisateur et son mot de passe. Cliquez sur </w:t>
      </w:r>
      <w:r>
        <w:rPr>
          <w:b/>
          <w:bCs/>
        </w:rPr>
        <w:t>Copier</w:t>
      </w:r>
      <w:r>
        <w:rPr/>
        <w:t xml:space="preserve"> et transmettez-les au formateur.</w:t>
      </w:r>
    </w:p>
    <w:p>
      <w:pPr>
        <w:pStyle w:val="EncadreAttention"/>
        <w:rPr/>
      </w:pPr>
      <w:r>
        <w:rPr>
          <w:b/>
          <w:bCs/>
        </w:rPr>
        <w:t>Le mot de passe n’est affiché qu’une fois</w:t>
      </w:r>
    </w:p>
    <w:p>
      <w:pPr>
        <w:pStyle w:val="EncadreAttention"/>
        <w:rPr/>
      </w:pPr>
      <w:r>
        <w:rPr/>
        <w:t>« Ce mot de passe ne sera plus affiché. Notez-le ou envoyez-le au formateur maintenant. »</w:t>
      </w:r>
    </w:p>
    <w:p>
      <w:pPr>
        <w:pStyle w:val="Normal"/>
        <w:spacing w:before="0" w:after="60"/>
        <w:rPr>
          <w:sz w:val="8"/>
        </w:rPr>
      </w:pPr>
      <w:r>
        <w:rPr>
          <w:sz w:val="8"/>
        </w:rPr>
      </w:r>
    </w:p>
    <w:p>
      <w:pPr>
        <w:pStyle w:val="Heading4"/>
        <w:rPr/>
      </w:pPr>
      <w:bookmarkStart w:id="113" w:name="le-formateur-a-perdu-son-mot-de-passe"/>
      <w:r>
        <w:rPr/>
        <w:t>Le formateur a perdu son mot de passe</w:t>
      </w:r>
    </w:p>
    <w:p>
      <w:pPr>
        <w:pStyle w:val="FirstParagraph"/>
        <w:rPr/>
      </w:pPr>
      <w:r>
        <w:rPr/>
        <w:t xml:space="preserve">Fiche du formateur → </w:t>
      </w:r>
      <w:r>
        <w:rPr>
          <w:b/>
          <w:bCs/>
        </w:rPr>
        <w:t>Réinitialiser le mot de passe</w:t>
      </w:r>
      <w:r>
        <w:rPr/>
        <w:t>. Un nouveau mot de passe s’affiche dans la même fenêtre.</w:t>
      </w:r>
      <w:bookmarkEnd w:id="112"/>
      <w:bookmarkEnd w:id="113"/>
    </w:p>
    <w:p>
      <w:pPr>
        <w:pStyle w:val="Heading3"/>
        <w:rPr/>
      </w:pPr>
      <w:bookmarkStart w:id="114" w:name="consulter-les-cours-dun-formateur"/>
      <w:r>
        <w:rPr/>
        <w:t>Consulter les cours d’un formateur</w:t>
      </w:r>
    </w:p>
    <w:p>
      <w:pPr>
        <w:pStyle w:val="FirstParagraph"/>
        <w:rPr/>
      </w:pPr>
      <w:bookmarkStart w:id="115" w:name="consulter-les-cours-dun-formateur"/>
      <w:r>
        <w:rPr/>
        <w:t>Le panneau de détails liste les cours et classes du formateur. Le champ « Filtrer par classe » restreint la liste ; cliquer sur un cours ouvre la fenêtre « Détail du cours ».</w:t>
      </w:r>
      <w:bookmarkEnd w:id="115"/>
    </w:p>
    <w:p>
      <w:pPr>
        <w:pStyle w:val="Heading3"/>
        <w:rPr/>
      </w:pPr>
      <w:bookmarkStart w:id="116" w:name="modifier-supprimer-importer"/>
      <w:r>
        <w:rPr/>
        <w:t>Modifier, supprimer, importer</w:t>
      </w:r>
    </w:p>
    <w:p>
      <w:pPr>
        <w:pStyle w:val="Compact"/>
        <w:numPr>
          <w:ilvl w:val="0"/>
          <w:numId w:val="250"/>
        </w:numPr>
        <w:rPr/>
      </w:pPr>
      <w:r>
        <w:rPr/>
        <w:t>Crayon : modifier ; corbeille : supprimer (avec confirmation). Supprimer un formateur retire aussi son accès au portail.</w:t>
      </w:r>
    </w:p>
    <w:p>
      <w:pPr>
        <w:pStyle w:val="Compact"/>
        <w:numPr>
          <w:ilvl w:val="0"/>
          <w:numId w:val="251"/>
        </w:numPr>
        <w:rPr/>
      </w:pPr>
      <w:r>
        <w:rPr>
          <w:b/>
          <w:bCs/>
        </w:rPr>
        <w:t>Import / Export</w:t>
      </w:r>
      <w:r>
        <w:rPr/>
        <w:t xml:space="preserve"> : voir Importer une liste depuis Excel.</w:t>
      </w:r>
      <w:bookmarkEnd w:id="116"/>
    </w:p>
    <w:p>
      <w:pPr>
        <w:pStyle w:val="Heading3"/>
        <w:rPr/>
      </w:pPr>
      <w:bookmarkStart w:id="117" w:name="colonne-rémunération"/>
      <w:r>
        <w:rPr/>
        <w:t>Colonne « Rémunération »</w:t>
      </w:r>
    </w:p>
    <w:p>
      <w:pPr>
        <w:pStyle w:val="FirstParagraph"/>
        <w:rPr/>
      </w:pPr>
      <w:bookmarkStart w:id="118" w:name="administration-enseignants-formateurs"/>
      <w:bookmarkStart w:id="119" w:name="colonne-rémunération"/>
      <w:r>
        <w:rPr/>
        <w:t>Affiche le salaire mensuel (permanent) ou le taux horaire (vacataire), utile pour vérifier les montants avant la paie.</w:t>
      </w:r>
      <w:bookmarkEnd w:id="118"/>
      <w:bookmarkEnd w:id="119"/>
    </w:p>
    <w:p>
      <w:pPr>
        <w:pStyle w:val="Heading2"/>
        <w:rPr/>
      </w:pPr>
      <w:bookmarkStart w:id="120" w:name="__RefHeading___Toc15160_1458957718"/>
      <w:bookmarkStart w:id="121" w:name="administration-emploi-du-temps"/>
      <w:bookmarkEnd w:id="120"/>
      <w:r>
        <w:rPr/>
        <w:t>Administration — Emploi du temps</w:t>
      </w:r>
    </w:p>
    <w:p>
      <w:pPr>
        <w:pStyle w:val="FirstParagraph"/>
        <w:rPr/>
      </w:pPr>
      <w:r>
        <w:rPr>
          <w:b/>
          <w:bCs/>
        </w:rPr>
        <w:t>Menu :</w:t>
      </w:r>
      <w:r>
        <w:rPr/>
        <w:t xml:space="preserve"> Pédagogie → Emploi du temps — </w:t>
      </w:r>
      <w:r>
        <w:rPr>
          <w:b/>
          <w:bCs/>
        </w:rPr>
        <w:t>Accès :</w:t>
      </w:r>
      <w:r>
        <w:rPr/>
        <w:t xml:space="preserve"> domaine </w:t>
      </w:r>
      <w:r>
        <w:rPr>
          <w:i/>
          <w:iCs/>
        </w:rPr>
        <w:t>Pédagogie</w:t>
      </w:r>
      <w:r>
        <w:rPr/>
        <w:t>.</w:t>
      </w:r>
    </w:p>
    <w:p>
      <w:pPr>
        <w:pStyle w:val="BodyText"/>
        <w:rPr/>
      </w:pPr>
      <w:r>
        <w:rPr/>
        <w:t xml:space="preserve">L’emploi du temps est la </w:t>
      </w:r>
      <w:r>
        <w:rPr>
          <w:b/>
          <w:bCs/>
        </w:rPr>
        <w:t>grille hebdomadaire</w:t>
      </w:r>
      <w:r>
        <w:rPr/>
        <w:t xml:space="preserve"> des cours de chaque classe. Il est essentiel car il alimente :</w:t>
      </w:r>
    </w:p>
    <w:p>
      <w:pPr>
        <w:pStyle w:val="Compact"/>
        <w:numPr>
          <w:ilvl w:val="0"/>
          <w:numId w:val="252"/>
        </w:numPr>
        <w:rPr/>
      </w:pPr>
      <w:r>
        <w:rPr/>
        <w:t>le portail étudiant (« Mon Emploi du Temps ») et le portail formateur ;</w:t>
      </w:r>
    </w:p>
    <w:p>
      <w:pPr>
        <w:pStyle w:val="Compact"/>
        <w:numPr>
          <w:ilvl w:val="0"/>
          <w:numId w:val="253"/>
        </w:numPr>
        <w:rPr/>
      </w:pPr>
      <w:r>
        <w:rPr/>
        <w:t>les classes et cours visibles par chaque formateur (« Mes Classes », saisie des notes) ;</w:t>
      </w:r>
    </w:p>
    <w:p>
      <w:pPr>
        <w:pStyle w:val="Compact"/>
        <w:numPr>
          <w:ilvl w:val="0"/>
          <w:numId w:val="254"/>
        </w:numPr>
        <w:rPr/>
      </w:pPr>
      <w:r>
        <w:rPr/>
        <w:t xml:space="preserve">le </w:t>
      </w:r>
      <w:r>
        <w:rPr>
          <w:b/>
          <w:bCs/>
        </w:rPr>
        <w:t>pointage des heures des vacataires</w:t>
      </w:r>
      <w:r>
        <w:rPr/>
        <w:t xml:space="preserve"> par les coordonnateurs.</w:t>
      </w:r>
    </w:p>
    <w:p>
      <w:pPr>
        <w:pStyle w:val="Heading3"/>
        <w:rPr/>
      </w:pPr>
      <w:bookmarkStart w:id="122" w:name="afficher-lemploi-du-temps-dune-classe"/>
      <w:r>
        <w:rPr/>
        <w:t>Afficher l’emploi du temps d’une classe</w:t>
      </w:r>
    </w:p>
    <w:p>
      <w:pPr>
        <w:pStyle w:val="Normal"/>
        <w:jc w:val="center"/>
        <w:rPr/>
      </w:pPr>
      <w:r>
        <w:rPr/>
        <w:drawing>
          <wp:inline distT="0" distB="0" distL="0" distR="0">
            <wp:extent cx="5334000" cy="3333750"/>
            <wp:effectExtent l="0" t="0" r="0" b="0"/>
            <wp:docPr id="30" name="Image30" descr="Emploi du temps : choix de la filière, du cycle et de la cl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descr="Emploi du temps : choix de la filière, du cycle et de la classe"/>
                    <pic:cNvPicPr>
                      <a:picLocks noChangeAspect="1" noChangeArrowheads="1"/>
                    </pic:cNvPicPr>
                  </pic:nvPicPr>
                  <pic:blipFill>
                    <a:blip r:embed="rId31"/>
                    <a:stretch>
                      <a:fillRect/>
                    </a:stretch>
                  </pic:blipFill>
                  <pic:spPr bwMode="auto">
                    <a:xfrm>
                      <a:off x="0" y="0"/>
                      <a:ext cx="5334000" cy="3333750"/>
                    </a:xfrm>
                    <a:prstGeom prst="rect">
                      <a:avLst/>
                    </a:prstGeom>
                  </pic:spPr>
                </pic:pic>
              </a:graphicData>
            </a:graphic>
          </wp:inline>
        </w:drawing>
      </w:r>
    </w:p>
    <w:p>
      <w:pPr>
        <w:pStyle w:val="ImageCaption"/>
        <w:rPr/>
      </w:pPr>
      <w:r>
        <w:rPr/>
        <w:t>Emploi du temps : choix de la filière, du cycle et de la classe</w:t>
      </w:r>
    </w:p>
    <w:p>
      <w:pPr>
        <w:pStyle w:val="Normal"/>
        <w:jc w:val="center"/>
        <w:rPr/>
      </w:pPr>
      <w:r>
        <w:rPr/>
        <w:drawing>
          <wp:inline distT="0" distB="0" distL="0" distR="0">
            <wp:extent cx="5334000" cy="3333750"/>
            <wp:effectExtent l="0" t="0" r="0" b="0"/>
            <wp:docPr id="31" name="Image31" descr="La grille hebdomadaire de la classe (la pause est indiqu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descr="La grille hebdomadaire de la classe (la pause est indiquée)"/>
                    <pic:cNvPicPr>
                      <a:picLocks noChangeAspect="1" noChangeArrowheads="1"/>
                    </pic:cNvPicPr>
                  </pic:nvPicPr>
                  <pic:blipFill>
                    <a:blip r:embed="rId32"/>
                    <a:stretch>
                      <a:fillRect/>
                    </a:stretch>
                  </pic:blipFill>
                  <pic:spPr bwMode="auto">
                    <a:xfrm>
                      <a:off x="0" y="0"/>
                      <a:ext cx="5334000" cy="3333750"/>
                    </a:xfrm>
                    <a:prstGeom prst="rect">
                      <a:avLst/>
                    </a:prstGeom>
                  </pic:spPr>
                </pic:pic>
              </a:graphicData>
            </a:graphic>
          </wp:inline>
        </w:drawing>
      </w:r>
    </w:p>
    <w:p>
      <w:pPr>
        <w:pStyle w:val="ImageCaption"/>
        <w:rPr/>
      </w:pPr>
      <w:r>
        <w:rPr/>
        <w:t>La grille hebdomadaire de la classe (la pause est indiquée)</w:t>
      </w:r>
    </w:p>
    <w:p>
      <w:pPr>
        <w:pStyle w:val="Compact"/>
        <w:numPr>
          <w:ilvl w:val="0"/>
          <w:numId w:val="255"/>
        </w:numPr>
        <w:rPr/>
      </w:pPr>
      <w:r>
        <w:rPr/>
        <w:t>Choisissez successivement la « Filière », le « Cycle », puis la « Classe » dans les listes en haut de page.</w:t>
      </w:r>
    </w:p>
    <w:p>
      <w:pPr>
        <w:pStyle w:val="Compact"/>
        <w:numPr>
          <w:ilvl w:val="0"/>
          <w:numId w:val="256"/>
        </w:numPr>
        <w:rPr/>
      </w:pPr>
      <w:bookmarkStart w:id="123" w:name="afficher-lemploi-du-temps-dune-classe"/>
      <w:r>
        <w:rPr/>
        <w:t>La grille s’affiche : une colonne par jour, une ligne par heure (colonne « Heure »).</w:t>
      </w:r>
      <w:bookmarkEnd w:id="123"/>
    </w:p>
    <w:p>
      <w:pPr>
        <w:pStyle w:val="Heading3"/>
        <w:rPr/>
      </w:pPr>
      <w:bookmarkStart w:id="124" w:name="ajouter-un-créneau"/>
      <w:bookmarkEnd w:id="124"/>
      <w:r>
        <w:rPr/>
        <w:t>Ajouter un créneau</w:t>
      </w:r>
    </w:p>
    <w:p>
      <w:pPr>
        <w:pStyle w:val="Normal"/>
        <w:jc w:val="center"/>
        <w:rPr/>
      </w:pPr>
      <w:r>
        <w:rPr/>
        <w:drawing>
          <wp:inline distT="0" distB="0" distL="0" distR="0">
            <wp:extent cx="5334000" cy="3333750"/>
            <wp:effectExtent l="0" t="0" r="0" b="0"/>
            <wp:docPr id="32" name="Image32" descr="Le formulaire « Nouveau crénea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 descr="Le formulaire « Nouveau créneau »"/>
                    <pic:cNvPicPr>
                      <a:picLocks noChangeAspect="1" noChangeArrowheads="1"/>
                    </pic:cNvPicPr>
                  </pic:nvPicPr>
                  <pic:blipFill>
                    <a:blip r:embed="rId33"/>
                    <a:stretch>
                      <a:fillRect/>
                    </a:stretch>
                  </pic:blipFill>
                  <pic:spPr bwMode="auto">
                    <a:xfrm>
                      <a:off x="0" y="0"/>
                      <a:ext cx="5334000" cy="3333750"/>
                    </a:xfrm>
                    <a:prstGeom prst="rect">
                      <a:avLst/>
                    </a:prstGeom>
                  </pic:spPr>
                </pic:pic>
              </a:graphicData>
            </a:graphic>
          </wp:inline>
        </w:drawing>
      </w:r>
    </w:p>
    <w:p>
      <w:pPr>
        <w:pStyle w:val="ImageCaption"/>
        <w:rPr/>
      </w:pPr>
      <w:r>
        <w:rPr/>
        <w:t>Le formulaire « Nouveau créneau »</w:t>
      </w:r>
    </w:p>
    <w:p>
      <w:pPr>
        <w:pStyle w:val="Normal"/>
        <w:numPr>
          <w:ilvl w:val="0"/>
          <w:numId w:val="257"/>
        </w:numPr>
        <w:rPr/>
      </w:pPr>
      <w:r>
        <w:rPr/>
        <w:t xml:space="preserve">Cliquez sur </w:t>
      </w:r>
      <w:r>
        <w:rPr>
          <w:b/>
          <w:bCs/>
        </w:rPr>
        <w:t>Nouveau Créneau</w:t>
      </w:r>
      <w:r>
        <w:rPr/>
        <w:t>.</w:t>
      </w:r>
    </w:p>
    <w:p>
      <w:pPr>
        <w:pStyle w:val="Normal"/>
        <w:numPr>
          <w:ilvl w:val="0"/>
          <w:numId w:val="258"/>
        </w:numPr>
        <w:rPr/>
      </w:pPr>
      <w:r>
        <w:rPr/>
        <w:t>Remplissez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4403"/>
        <w:gridCol w:w="5234"/>
      </w:tblGrid>
      <w:tr>
        <w:trPr>
          <w:tblHeader w:val="true"/>
          <w:cantSplit w:val="true"/>
        </w:trPr>
        <w:tc>
          <w:tcPr>
            <w:tcW w:w="440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523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r>
      <w:tr>
        <w:trPr>
          <w:cantSplit w:val="true"/>
        </w:trPr>
        <w:tc>
          <w:tcPr>
            <w:tcW w:w="44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Classe</w:t>
            </w:r>
          </w:p>
        </w:tc>
        <w:tc>
          <w:tcPr>
            <w:tcW w:w="52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Développement Web Licence 1</w:t>
            </w:r>
          </w:p>
        </w:tc>
      </w:tr>
      <w:tr>
        <w:trPr>
          <w:cantSplit w:val="true"/>
        </w:trPr>
        <w:tc>
          <w:tcPr>
            <w:tcW w:w="44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Jour</w:t>
            </w:r>
          </w:p>
        </w:tc>
        <w:tc>
          <w:tcPr>
            <w:tcW w:w="52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Mardi</w:t>
            </w:r>
          </w:p>
        </w:tc>
      </w:tr>
      <w:tr>
        <w:trPr>
          <w:cantSplit w:val="true"/>
        </w:trPr>
        <w:tc>
          <w:tcPr>
            <w:tcW w:w="44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Début / Fin</w:t>
            </w:r>
          </w:p>
        </w:tc>
        <w:tc>
          <w:tcPr>
            <w:tcW w:w="52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08:00 / 10:00</w:t>
            </w:r>
          </w:p>
        </w:tc>
      </w:tr>
      <w:tr>
        <w:trPr>
          <w:cantSplit w:val="true"/>
        </w:trPr>
        <w:tc>
          <w:tcPr>
            <w:tcW w:w="44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Salle / Lieu</w:t>
            </w:r>
          </w:p>
        </w:tc>
        <w:tc>
          <w:tcPr>
            <w:tcW w:w="52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Salle B2</w:t>
            </w:r>
          </w:p>
        </w:tc>
      </w:tr>
      <w:tr>
        <w:trPr>
          <w:cantSplit w:val="true"/>
        </w:trPr>
        <w:tc>
          <w:tcPr>
            <w:tcW w:w="44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Cours / Module</w:t>
            </w:r>
          </w:p>
        </w:tc>
        <w:tc>
          <w:tcPr>
            <w:tcW w:w="52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Algorithmique</w:t>
            </w:r>
          </w:p>
        </w:tc>
      </w:tr>
      <w:tr>
        <w:trPr>
          <w:cantSplit w:val="true"/>
        </w:trPr>
        <w:tc>
          <w:tcPr>
            <w:tcW w:w="44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Formateur</w:t>
            </w:r>
          </w:p>
        </w:tc>
        <w:tc>
          <w:tcPr>
            <w:tcW w:w="52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 Essomba</w:t>
            </w:r>
          </w:p>
        </w:tc>
      </w:tr>
      <w:tr>
        <w:trPr>
          <w:cantSplit w:val="true"/>
        </w:trPr>
        <w:tc>
          <w:tcPr>
            <w:tcW w:w="44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Date d’effet (optionnelle / antidatage)</w:t>
            </w:r>
          </w:p>
        </w:tc>
        <w:tc>
          <w:tcPr>
            <w:tcW w:w="52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Laisser vide, ou une date passée pour antidater le créneau</w:t>
            </w:r>
          </w:p>
        </w:tc>
      </w:tr>
    </w:tbl>
    <w:p>
      <w:pPr>
        <w:pStyle w:val="Normal"/>
        <w:numPr>
          <w:ilvl w:val="0"/>
          <w:numId w:val="259"/>
        </w:numPr>
        <w:rPr/>
      </w:pPr>
      <w:r>
        <w:rPr/>
        <w:t xml:space="preserve">Cliquez sur </w:t>
      </w:r>
      <w:r>
        <w:rPr>
          <w:b/>
          <w:bCs/>
        </w:rPr>
        <w:t>Enregistrer</w:t>
      </w:r>
      <w:r>
        <w:rPr/>
        <w:t>.</w:t>
      </w:r>
    </w:p>
    <w:p>
      <w:pPr>
        <w:pStyle w:val="Heading4"/>
        <w:rPr/>
      </w:pPr>
      <w:bookmarkStart w:id="125" w:name="règles-vérifiées-automatiquement"/>
      <w:bookmarkEnd w:id="125"/>
      <w:r>
        <w:rPr/>
        <w:t>Règles vérifiées automatiquement</w:t>
      </w:r>
    </w:p>
    <w:p>
      <w:pPr>
        <w:pStyle w:val="FirstParagraph"/>
        <w:rPr/>
      </w:pPr>
      <w:r>
        <w:rPr/>
        <w:t xml:space="preserve">Le créneau est </w:t>
      </w:r>
      <w:r>
        <w:rPr>
          <w:b/>
          <w:bCs/>
        </w:rPr>
        <w:t>refusé</w:t>
      </w:r>
      <w:r>
        <w:rPr/>
        <w:t xml:space="preserve"> (message rouge) si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5180"/>
        <w:gridCol w:w="4457"/>
      </w:tblGrid>
      <w:tr>
        <w:trPr>
          <w:tblHeader w:val="true"/>
          <w:cantSplit w:val="true"/>
        </w:trPr>
        <w:tc>
          <w:tcPr>
            <w:tcW w:w="518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Message</w:t>
            </w:r>
          </w:p>
        </w:tc>
        <w:tc>
          <w:tcPr>
            <w:tcW w:w="445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Cause</w:t>
            </w:r>
          </w:p>
        </w:tc>
      </w:tr>
      <w:tr>
        <w:trPr>
          <w:cantSplit w:val="true"/>
        </w:trPr>
        <w:tc>
          <w:tcPr>
            <w:tcW w:w="51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L’heure de fin doit être postérieure à l’heure de début</w:t>
            </w:r>
          </w:p>
        </w:tc>
        <w:tc>
          <w:tcPr>
            <w:tcW w:w="44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Fin avant le début.</w:t>
            </w:r>
          </w:p>
        </w:tc>
      </w:tr>
      <w:tr>
        <w:trPr>
          <w:cantSplit w:val="true"/>
        </w:trPr>
        <w:tc>
          <w:tcPr>
            <w:tcW w:w="51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Impossible de programmer une séance pendant la pause (12:00–13:00)</w:t>
            </w:r>
          </w:p>
        </w:tc>
        <w:tc>
          <w:tcPr>
            <w:tcW w:w="44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créneau chevauche la pause définie pour le cycle (</w:t>
            </w:r>
            <w:r>
              <w:rPr>
                <w:rFonts w:eastAsia="Calibri" w:cs="Calibri"/>
                <w:b/>
                <w:bCs/>
                <w:kern w:val="0"/>
                <w:sz w:val="19"/>
                <w:szCs w:val="19"/>
                <w:lang w:val="fr-FR" w:eastAsia="en-US" w:bidi="ar-SA"/>
              </w:rPr>
              <w:t>Système</w:t>
            </w:r>
            <w:r>
              <w:rPr>
                <w:rFonts w:eastAsia="Calibri" w:cs="Calibri"/>
                <w:kern w:val="0"/>
                <w:sz w:val="19"/>
                <w:szCs w:val="19"/>
                <w:lang w:val="fr-FR" w:eastAsia="en-US" w:bidi="ar-SA"/>
              </w:rPr>
              <w:t xml:space="preserve"> → </w:t>
            </w:r>
            <w:r>
              <w:rPr>
                <w:rFonts w:eastAsia="Calibri" w:cs="Calibri"/>
                <w:i/>
                <w:iCs/>
                <w:kern w:val="0"/>
                <w:sz w:val="19"/>
                <w:szCs w:val="19"/>
                <w:lang w:val="fr-FR" w:eastAsia="en-US" w:bidi="ar-SA"/>
              </w:rPr>
              <w:t>Paramètres Globaux</w:t>
            </w:r>
            <w:r>
              <w:rPr>
                <w:rFonts w:eastAsia="Calibri" w:cs="Calibri"/>
                <w:kern w:val="0"/>
                <w:sz w:val="19"/>
                <w:szCs w:val="19"/>
                <w:lang w:val="fr-FR" w:eastAsia="en-US" w:bidi="ar-SA"/>
              </w:rPr>
              <w:t xml:space="preserve"> → Cycles Globaux).</w:t>
            </w:r>
          </w:p>
        </w:tc>
      </w:tr>
      <w:tr>
        <w:trPr>
          <w:cantSplit w:val="true"/>
        </w:trPr>
        <w:tc>
          <w:tcPr>
            <w:tcW w:w="51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Hors créneau autorisé pour ce cycle (08:00–18:00)</w:t>
            </w:r>
          </w:p>
        </w:tc>
        <w:tc>
          <w:tcPr>
            <w:tcW w:w="44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créneau dépasse le début ou la fin de journée du cycle.</w:t>
            </w:r>
          </w:p>
        </w:tc>
      </w:tr>
      <w:tr>
        <w:trPr>
          <w:cantSplit w:val="true"/>
        </w:trPr>
        <w:tc>
          <w:tcPr>
            <w:tcW w:w="51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Conflit de salle : cette salle est déjà occupée à ce créneau</w:t>
            </w:r>
          </w:p>
        </w:tc>
        <w:tc>
          <w:tcPr>
            <w:tcW w:w="44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salle est prise par un autre cours au même moment.</w:t>
            </w:r>
          </w:p>
        </w:tc>
      </w:tr>
      <w:tr>
        <w:trPr>
          <w:cantSplit w:val="true"/>
        </w:trPr>
        <w:tc>
          <w:tcPr>
            <w:tcW w:w="51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Conflit de classe : cette classe a déjà un cours à ce créneau</w:t>
            </w:r>
          </w:p>
        </w:tc>
        <w:tc>
          <w:tcPr>
            <w:tcW w:w="44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classe a déjà un cours au même moment.</w:t>
            </w:r>
          </w:p>
        </w:tc>
      </w:tr>
      <w:tr>
        <w:trPr>
          <w:cantSplit w:val="true"/>
        </w:trPr>
        <w:tc>
          <w:tcPr>
            <w:tcW w:w="51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Conflit de formateur : ce formateur a déjà un cours à ce créneau</w:t>
            </w:r>
          </w:p>
        </w:tc>
        <w:tc>
          <w:tcPr>
            <w:tcW w:w="445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formateur donne déjà un autre cours au même moment.</w:t>
            </w:r>
          </w:p>
        </w:tc>
      </w:tr>
    </w:tbl>
    <w:p>
      <w:pPr>
        <w:pStyle w:val="EncadreInfo"/>
        <w:rPr/>
      </w:pPr>
      <w:r>
        <w:rPr>
          <w:b/>
          <w:bCs/>
        </w:rPr>
        <w:t>Remarque</w:t>
      </w:r>
    </w:p>
    <w:p>
      <w:pPr>
        <w:pStyle w:val="EncadreInfo"/>
        <w:rPr/>
      </w:pPr>
      <w:r>
        <w:rPr/>
        <w:t xml:space="preserve">Un </w:t>
      </w:r>
      <w:r>
        <w:rPr>
          <w:b/>
          <w:bCs/>
        </w:rPr>
        <w:t>même cours</w:t>
      </w:r>
      <w:r>
        <w:rPr/>
        <w:t xml:space="preserve"> peut partager la salle et le formateur avec plusieurs classes (cours en commun). Les créneaux des </w:t>
      </w:r>
      <w:r>
        <w:rPr>
          <w:b/>
          <w:bCs/>
        </w:rPr>
        <w:t>années précédentes</w:t>
      </w:r>
      <w:r>
        <w:rPr/>
        <w:t xml:space="preserve"> ne bloquent pas la nouvelle année.</w:t>
      </w:r>
    </w:p>
    <w:p>
      <w:pPr>
        <w:pStyle w:val="Normal"/>
        <w:spacing w:before="0" w:after="60"/>
        <w:rPr>
          <w:sz w:val="8"/>
        </w:rPr>
      </w:pPr>
      <w:r>
        <w:rPr>
          <w:sz w:val="8"/>
        </w:rPr>
      </w:r>
      <w:bookmarkStart w:id="126" w:name="ajouter-un-créneau"/>
      <w:bookmarkStart w:id="127" w:name="règles-vérifiées-automatiquement"/>
      <w:bookmarkStart w:id="128" w:name="ajouter-un-créneau"/>
      <w:bookmarkStart w:id="129" w:name="règles-vérifiées-automatiquement"/>
      <w:bookmarkEnd w:id="128"/>
      <w:bookmarkEnd w:id="129"/>
    </w:p>
    <w:p>
      <w:pPr>
        <w:pStyle w:val="Heading3"/>
        <w:rPr/>
      </w:pPr>
      <w:bookmarkStart w:id="130" w:name="créneau-en-tronc-commun"/>
      <w:bookmarkEnd w:id="130"/>
      <w:r>
        <w:rPr/>
        <w:t>Créneau en tronc commun</w:t>
      </w:r>
    </w:p>
    <w:p>
      <w:pPr>
        <w:pStyle w:val="FirstParagraph"/>
        <w:rPr/>
      </w:pPr>
      <w:r>
        <w:rPr/>
        <w:t xml:space="preserve">Pour un cours suivi au même moment par </w:t>
      </w:r>
      <w:r>
        <w:rPr>
          <w:b/>
          <w:bCs/>
        </w:rPr>
        <w:t>toutes les classes d’une ou plusieurs filières</w:t>
      </w:r>
      <w:r>
        <w:rPr/>
        <w:t xml:space="preserve"> :</w:t>
      </w:r>
    </w:p>
    <w:p>
      <w:pPr>
        <w:pStyle w:val="Compact"/>
        <w:numPr>
          <w:ilvl w:val="0"/>
          <w:numId w:val="260"/>
        </w:numPr>
        <w:rPr/>
      </w:pPr>
      <w:r>
        <w:rPr>
          <w:b/>
          <w:bCs/>
        </w:rPr>
        <w:t>Nouveau Créneau</w:t>
      </w:r>
      <w:r>
        <w:rPr/>
        <w:t xml:space="preserve">, puis activez l’interrupteur </w:t>
      </w:r>
      <w:r>
        <w:rPr>
          <w:b/>
          <w:bCs/>
        </w:rPr>
        <w:t>Créneau en tronc commun</w:t>
      </w:r>
      <w:r>
        <w:rPr/>
        <w:t>.</w:t>
      </w:r>
    </w:p>
    <w:p>
      <w:pPr>
        <w:pStyle w:val="Compact"/>
        <w:numPr>
          <w:ilvl w:val="0"/>
          <w:numId w:val="261"/>
        </w:numPr>
        <w:rPr/>
      </w:pPr>
      <w:r>
        <w:rPr/>
        <w:t>Choisissez les « Filières concernées » (plusieurs possibles), puis le jour, les heures, la salle, le cours et le formateur.</w:t>
      </w:r>
    </w:p>
    <w:p>
      <w:pPr>
        <w:pStyle w:val="Compact"/>
        <w:numPr>
          <w:ilvl w:val="0"/>
          <w:numId w:val="262"/>
        </w:numPr>
        <w:rPr/>
      </w:pPr>
      <w:r>
        <w:rPr/>
        <w:t>Enregistrez : un créneau est créé pour chaque classe de ces filières.</w:t>
      </w:r>
    </w:p>
    <w:p>
      <w:pPr>
        <w:pStyle w:val="EncadreAttention"/>
        <w:rPr/>
      </w:pPr>
      <w:r>
        <w:rPr>
          <w:b/>
          <w:bCs/>
        </w:rPr>
        <w:t>Remplacement des créneaux existants</w:t>
      </w:r>
    </w:p>
    <w:p>
      <w:pPr>
        <w:pStyle w:val="EncadreAttention"/>
        <w:rPr/>
      </w:pPr>
      <w:r>
        <w:rPr/>
        <w:t xml:space="preserve">Si des classes concernées ont déjà un cours sur cette plage horaire, une confirmation vous indique combien de créneaux seront </w:t>
      </w:r>
      <w:r>
        <w:rPr>
          <w:b/>
          <w:bCs/>
        </w:rPr>
        <w:t>supprimés et remplacés</w:t>
      </w:r>
      <w:r>
        <w:rPr/>
        <w:t xml:space="preserve">. Cliquez sur </w:t>
      </w:r>
      <w:r>
        <w:rPr>
          <w:b/>
          <w:bCs/>
        </w:rPr>
        <w:t>Annuler</w:t>
      </w:r>
      <w:r>
        <w:rPr/>
        <w:t xml:space="preserve"> en cas de doute.</w:t>
      </w:r>
    </w:p>
    <w:p>
      <w:pPr>
        <w:pStyle w:val="Normal"/>
        <w:spacing w:before="0" w:after="60"/>
        <w:rPr>
          <w:sz w:val="8"/>
        </w:rPr>
      </w:pPr>
      <w:r>
        <w:rPr>
          <w:sz w:val="8"/>
        </w:rPr>
      </w:r>
      <w:bookmarkStart w:id="131" w:name="créneau-en-tronc-commun"/>
      <w:bookmarkStart w:id="132" w:name="créneau-en-tronc-commun"/>
      <w:bookmarkEnd w:id="132"/>
    </w:p>
    <w:p>
      <w:pPr>
        <w:pStyle w:val="Heading3"/>
        <w:rPr/>
      </w:pPr>
      <w:bookmarkStart w:id="133" w:name="modifier-ou-supprimer-un-créneau"/>
      <w:bookmarkEnd w:id="133"/>
      <w:r>
        <w:rPr/>
        <w:t>Modifier ou supprimer un créneau</w:t>
      </w:r>
    </w:p>
    <w:p>
      <w:pPr>
        <w:pStyle w:val="FirstParagraph"/>
        <w:rPr/>
      </w:pPr>
      <w:r>
        <w:rPr/>
        <w:t>Cliquez sur le créneau dans la grille : modifiez-le, ou supprimez-le (fenêtre « Supprimer le créneau ? »).</w:t>
      </w:r>
    </w:p>
    <w:p>
      <w:pPr>
        <w:pStyle w:val="EncadreInfo"/>
        <w:rPr/>
      </w:pPr>
      <w:r>
        <w:rPr>
          <w:b/>
          <w:bCs/>
        </w:rPr>
        <w:t>Effet sur le pointage</w:t>
      </w:r>
    </w:p>
    <w:p>
      <w:pPr>
        <w:pStyle w:val="EncadreInfo"/>
        <w:rPr/>
      </w:pPr>
      <w:r>
        <w:rPr/>
        <w:t xml:space="preserve">Les séances prévues au pointage des coordonnateurs proviennent de l’emploi du temps. Un créneau supprimé n’apparaît plus dans le </w:t>
      </w:r>
      <w:r>
        <w:rPr>
          <w:i/>
          <w:iCs/>
        </w:rPr>
        <w:t>Pointage du jour</w:t>
      </w:r>
      <w:r>
        <w:rPr/>
        <w:t xml:space="preserve"> ; les pointages déjà saisis sont conservés.</w:t>
      </w:r>
    </w:p>
    <w:p>
      <w:pPr>
        <w:pStyle w:val="Normal"/>
        <w:spacing w:before="0" w:after="60"/>
        <w:rPr>
          <w:sz w:val="8"/>
        </w:rPr>
      </w:pPr>
      <w:r>
        <w:rPr>
          <w:sz w:val="8"/>
        </w:rPr>
      </w:r>
      <w:bookmarkStart w:id="134" w:name="modifier-ou-supprimer-un-créneau"/>
      <w:bookmarkStart w:id="135" w:name="modifier-ou-supprimer-un-créneau"/>
      <w:bookmarkEnd w:id="135"/>
    </w:p>
    <w:p>
      <w:pPr>
        <w:pStyle w:val="Heading3"/>
        <w:rPr/>
      </w:pPr>
      <w:bookmarkStart w:id="136" w:name="Xa1f387c8b85b9f9836e17cd8f14e8f4588e42b8"/>
      <w:r>
        <w:rPr/>
        <w:t>Exporter et publier un emploi du temps officiel</w:t>
      </w:r>
    </w:p>
    <w:p>
      <w:pPr>
        <w:pStyle w:val="Compact"/>
        <w:numPr>
          <w:ilvl w:val="0"/>
          <w:numId w:val="263"/>
        </w:numPr>
        <w:rPr/>
      </w:pPr>
      <w:r>
        <w:rPr>
          <w:b/>
          <w:bCs/>
        </w:rPr>
        <w:t>Exporter PDF</w:t>
      </w:r>
      <w:r>
        <w:rPr/>
        <w:t xml:space="preserve"> : télécharge la grille de la classe affichée.</w:t>
      </w:r>
    </w:p>
    <w:p>
      <w:pPr>
        <w:pStyle w:val="Compact"/>
        <w:numPr>
          <w:ilvl w:val="0"/>
          <w:numId w:val="264"/>
        </w:numPr>
        <w:rPr/>
      </w:pPr>
      <w:r>
        <w:rPr>
          <w:b/>
          <w:bCs/>
        </w:rPr>
        <w:t>Import / Export</w:t>
      </w:r>
      <w:r>
        <w:rPr/>
        <w:t xml:space="preserve"> : import d’un fichier Excel de créneaux (mode d’emploi).</w:t>
      </w:r>
    </w:p>
    <w:p>
      <w:pPr>
        <w:pStyle w:val="Compact"/>
        <w:numPr>
          <w:ilvl w:val="0"/>
          <w:numId w:val="265"/>
        </w:numPr>
        <w:rPr/>
      </w:pPr>
      <w:r>
        <w:rPr>
          <w:b/>
          <w:bCs/>
        </w:rPr>
        <w:t>Importer un Emploi du Temps (PDF / Image)</w:t>
      </w:r>
      <w:r>
        <w:rPr/>
        <w:t xml:space="preserve"> : publie un document officiel (scan, PDF) pour une classe. Renseignez « Titre de l’emploi du temps », « Classe concernée », « Date d’effet », « Description (Optionnelle) », choisissez le fichier puis </w:t>
      </w:r>
      <w:r>
        <w:rPr>
          <w:b/>
          <w:bCs/>
        </w:rPr>
        <w:t>Importer maintenant</w:t>
      </w:r>
      <w:r>
        <w:rPr/>
        <w:t>. Les étudiants et formateurs le consultent dans leur portail (</w:t>
      </w:r>
      <w:r>
        <w:rPr>
          <w:b/>
          <w:bCs/>
        </w:rPr>
        <w:t>Aperçu</w:t>
      </w:r>
      <w:r>
        <w:rPr/>
        <w:t xml:space="preserve"> / </w:t>
      </w:r>
      <w:r>
        <w:rPr>
          <w:b/>
          <w:bCs/>
        </w:rPr>
        <w:t>Télécharger</w:t>
      </w:r>
      <w:r>
        <w:rPr/>
        <w:t>).</w:t>
      </w:r>
      <w:bookmarkEnd w:id="121"/>
      <w:bookmarkEnd w:id="136"/>
    </w:p>
    <w:p>
      <w:pPr>
        <w:pStyle w:val="Heading2"/>
        <w:rPr/>
      </w:pPr>
      <w:bookmarkStart w:id="137" w:name="__RefHeading___Toc15162_1458957718"/>
      <w:bookmarkStart w:id="138" w:name="administration-notes-et-relevés"/>
      <w:bookmarkEnd w:id="137"/>
      <w:r>
        <w:rPr/>
        <w:t>Administration — Notes et relevés</w:t>
      </w:r>
    </w:p>
    <w:p>
      <w:pPr>
        <w:pStyle w:val="FirstParagraph"/>
        <w:rPr/>
      </w:pPr>
      <w:r>
        <w:rPr>
          <w:b/>
          <w:bCs/>
        </w:rPr>
        <w:t>Menu :</w:t>
      </w:r>
      <w:r>
        <w:rPr/>
        <w:t xml:space="preserve"> Pédagogie → Notes — </w:t>
      </w:r>
      <w:r>
        <w:rPr>
          <w:b/>
          <w:bCs/>
        </w:rPr>
        <w:t>Accès :</w:t>
      </w:r>
      <w:r>
        <w:rPr/>
        <w:t xml:space="preserve"> domaine </w:t>
      </w:r>
      <w:r>
        <w:rPr>
          <w:i/>
          <w:iCs/>
        </w:rPr>
        <w:t>Pédagogie</w:t>
      </w:r>
      <w:r>
        <w:rPr/>
        <w:t xml:space="preserve"> (ou </w:t>
      </w:r>
      <w:r>
        <w:rPr>
          <w:i/>
          <w:iCs/>
        </w:rPr>
        <w:t>Étudiants</w:t>
      </w:r>
      <w:r>
        <w:rPr/>
        <w:t>). Écriture nécessaire pour saisir.</w:t>
      </w:r>
    </w:p>
    <w:p>
      <w:pPr>
        <w:pStyle w:val="Heading3"/>
        <w:rPr/>
      </w:pPr>
      <w:bookmarkStart w:id="139" w:name="comment-une-note-est-calculée"/>
      <w:r>
        <w:rPr/>
        <w:t>Comment une note est calculée</w:t>
      </w:r>
    </w:p>
    <w:p>
      <w:pPr>
        <w:pStyle w:val="FirstParagraph"/>
        <w:rPr/>
      </w:pPr>
      <w:r>
        <w:rPr/>
        <w:t>Chaque note d’un étudiant dans un cours comprend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689"/>
        <w:gridCol w:w="3085"/>
        <w:gridCol w:w="2864"/>
      </w:tblGrid>
      <w:tr>
        <w:trPr>
          <w:tblHeader w:val="true"/>
          <w:cantSplit w:val="true"/>
        </w:trPr>
        <w:tc>
          <w:tcPr>
            <w:tcW w:w="368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Composante</w:t>
            </w:r>
          </w:p>
        </w:tc>
        <w:tc>
          <w:tcPr>
            <w:tcW w:w="308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Saisie sur</w:t>
            </w:r>
          </w:p>
        </w:tc>
        <w:tc>
          <w:tcPr>
            <w:tcW w:w="286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 (réglage par défaut 30 / 70)</w:t>
            </w:r>
          </w:p>
        </w:tc>
      </w:tr>
      <w:tr>
        <w:trPr>
          <w:cantSplit w:val="true"/>
        </w:trPr>
        <w:tc>
          <w:tcPr>
            <w:tcW w:w="368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CC</w:t>
            </w:r>
            <w:r>
              <w:rPr>
                <w:rFonts w:eastAsia="Calibri" w:cs="Calibri"/>
                <w:kern w:val="0"/>
                <w:sz w:val="19"/>
                <w:szCs w:val="19"/>
                <w:lang w:val="fr-FR" w:eastAsia="en-US" w:bidi="ar-SA"/>
              </w:rPr>
              <w:t xml:space="preserve"> — contrôle continu</w:t>
            </w:r>
          </w:p>
        </w:tc>
        <w:tc>
          <w:tcPr>
            <w:tcW w:w="308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pourcentage CC</w:t>
            </w:r>
          </w:p>
        </w:tc>
        <w:tc>
          <w:tcPr>
            <w:tcW w:w="286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sur 30</w:t>
            </w:r>
          </w:p>
        </w:tc>
      </w:tr>
      <w:tr>
        <w:trPr>
          <w:cantSplit w:val="true"/>
        </w:trPr>
        <w:tc>
          <w:tcPr>
            <w:tcW w:w="368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SN</w:t>
            </w:r>
            <w:r>
              <w:rPr>
                <w:rFonts w:eastAsia="Calibri" w:cs="Calibri"/>
                <w:kern w:val="0"/>
                <w:sz w:val="19"/>
                <w:szCs w:val="19"/>
                <w:lang w:val="fr-FR" w:eastAsia="en-US" w:bidi="ar-SA"/>
              </w:rPr>
              <w:t xml:space="preserve"> — session normale (examen)</w:t>
            </w:r>
          </w:p>
        </w:tc>
        <w:tc>
          <w:tcPr>
            <w:tcW w:w="308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pourcentage SN</w:t>
            </w:r>
          </w:p>
        </w:tc>
        <w:tc>
          <w:tcPr>
            <w:tcW w:w="286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sur 70</w:t>
            </w:r>
          </w:p>
        </w:tc>
      </w:tr>
      <w:tr>
        <w:trPr>
          <w:cantSplit w:val="true"/>
        </w:trPr>
        <w:tc>
          <w:tcPr>
            <w:tcW w:w="368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Rattrapage</w:t>
            </w:r>
            <w:r>
              <w:rPr>
                <w:rFonts w:eastAsia="Calibri" w:cs="Calibri"/>
                <w:kern w:val="0"/>
                <w:sz w:val="19"/>
                <w:szCs w:val="19"/>
                <w:lang w:val="fr-FR" w:eastAsia="en-US" w:bidi="ar-SA"/>
              </w:rPr>
              <w:t xml:space="preserve"> (facultatif)</w:t>
            </w:r>
          </w:p>
        </w:tc>
        <w:tc>
          <w:tcPr>
            <w:tcW w:w="308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pourcentage SN</w:t>
            </w:r>
          </w:p>
        </w:tc>
        <w:tc>
          <w:tcPr>
            <w:tcW w:w="286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sur 70 ; </w:t>
            </w:r>
            <w:r>
              <w:rPr>
                <w:rFonts w:eastAsia="Calibri" w:cs="Calibri"/>
                <w:b/>
                <w:bCs/>
                <w:kern w:val="0"/>
                <w:sz w:val="19"/>
                <w:szCs w:val="19"/>
                <w:lang w:val="fr-FR" w:eastAsia="en-US" w:bidi="ar-SA"/>
              </w:rPr>
              <w:t>remplace</w:t>
            </w:r>
            <w:r>
              <w:rPr>
                <w:rFonts w:eastAsia="Calibri" w:cs="Calibri"/>
                <w:kern w:val="0"/>
                <w:sz w:val="19"/>
                <w:szCs w:val="19"/>
                <w:lang w:val="fr-FR" w:eastAsia="en-US" w:bidi="ar-SA"/>
              </w:rPr>
              <w:t xml:space="preserve"> la note SN</w:t>
            </w:r>
          </w:p>
        </w:tc>
      </w:tr>
    </w:tbl>
    <w:p>
      <w:pPr>
        <w:pStyle w:val="BodyText"/>
        <w:rPr/>
      </w:pPr>
      <w:r>
        <w:rPr>
          <w:b/>
          <w:bCs/>
        </w:rPr>
        <w:t>Note finale (sur 100) = CC + SN</w:t>
      </w:r>
      <w:r>
        <w:rPr/>
        <w:t xml:space="preserve"> (ou CC + Rattrapage si un rattrapage est saisi). Elle est calculée automatiquement.</w:t>
      </w:r>
    </w:p>
    <w:p>
      <w:pPr>
        <w:pStyle w:val="BodyText"/>
        <w:rPr/>
      </w:pPr>
      <w:r>
        <w:rPr/>
        <w:t xml:space="preserve">Exemple : CC = 22/30, SN = 41/70 → note finale = </w:t>
      </w:r>
      <w:r>
        <w:rPr>
          <w:b/>
          <w:bCs/>
        </w:rPr>
        <w:t>63/100</w:t>
      </w:r>
      <w:r>
        <w:rPr/>
        <w:t xml:space="preserve"> (soit 12,6/20).</w:t>
      </w:r>
    </w:p>
    <w:p>
      <w:pPr>
        <w:pStyle w:val="EncadreInfo"/>
        <w:rPr/>
      </w:pPr>
      <w:r>
        <w:rPr>
          <w:b/>
          <w:bCs/>
        </w:rPr>
        <w:t>Réglage des pourcentages</w:t>
      </w:r>
    </w:p>
    <w:p>
      <w:pPr>
        <w:pStyle w:val="EncadreInfo"/>
        <w:rPr/>
      </w:pPr>
      <w:r>
        <w:rPr/>
        <w:t xml:space="preserve">Les pourcentages CC / SN se règlent dans </w:t>
      </w:r>
      <w:r>
        <w:rPr>
          <w:b/>
          <w:bCs/>
        </w:rPr>
        <w:t>Système</w:t>
      </w:r>
      <w:r>
        <w:rPr/>
        <w:t xml:space="preserve"> → </w:t>
      </w:r>
      <w:r>
        <w:rPr>
          <w:i/>
          <w:iCs/>
        </w:rPr>
        <w:t>Paramètres Globaux</w:t>
      </w:r>
      <w:r>
        <w:rPr/>
        <w:t xml:space="preserve"> → « Calcul des Notes » (leur somme doit faire 100). S’ils sont modifiés, les notes déjà saisies sont </w:t>
      </w:r>
      <w:r>
        <w:rPr>
          <w:b/>
          <w:bCs/>
        </w:rPr>
        <w:t>converties automatiquement</w:t>
      </w:r>
      <w:r>
        <w:rPr/>
        <w:t xml:space="preserve"> à la nouvelle échelle.</w:t>
      </w:r>
    </w:p>
    <w:p>
      <w:pPr>
        <w:pStyle w:val="Normal"/>
        <w:spacing w:before="0" w:after="60"/>
        <w:rPr>
          <w:sz w:val="8"/>
        </w:rPr>
      </w:pPr>
      <w:r>
        <w:rPr>
          <w:sz w:val="8"/>
        </w:rPr>
      </w:r>
    </w:p>
    <w:p>
      <w:pPr>
        <w:pStyle w:val="BodyText"/>
        <w:rPr/>
      </w:pPr>
      <w:bookmarkStart w:id="140" w:name="comment-une-note-est-calculée"/>
      <w:r>
        <w:rPr/>
        <w:t>Une note supérieure au maximum (par exemple 35 en CC alors que le CC est sur 30) est refusée avec le message « La note CC ne peut pas dépasser la configuration de 30 ».</w:t>
      </w:r>
      <w:bookmarkEnd w:id="140"/>
    </w:p>
    <w:p>
      <w:pPr>
        <w:pStyle w:val="Heading3"/>
        <w:rPr/>
      </w:pPr>
      <w:bookmarkStart w:id="141" w:name="X12ae9d137823f7a7719e7cb8b4fb1460e43fe5f"/>
      <w:r>
        <w:rPr/>
        <w:t>Validation : quand l’étudiant voit-il ses notes ?</w:t>
      </w:r>
    </w:p>
    <w:p>
      <w:pPr>
        <w:pStyle w:val="EncadreAttention"/>
        <w:rPr/>
      </w:pPr>
      <w:r>
        <w:rPr>
          <w:b/>
          <w:bCs/>
        </w:rPr>
        <w:t>Les notes sont masquées tant qu’elles ne sont pas validées</w:t>
      </w:r>
    </w:p>
    <w:p>
      <w:pPr>
        <w:pStyle w:val="EncadreAttention"/>
        <w:rPr/>
      </w:pPr>
      <w:r>
        <w:rPr/>
        <w:t xml:space="preserve">Une note enregistrée (par l’administration ou par un formateur) </w:t>
      </w:r>
      <w:r>
        <w:rPr>
          <w:b/>
          <w:bCs/>
        </w:rPr>
        <w:t>n’est pas visible</w:t>
      </w:r>
      <w:r>
        <w:rPr/>
        <w:t xml:space="preserve"> sur le portail étudiant tant qu’un administrateur ne l’a pas </w:t>
      </w:r>
      <w:r>
        <w:rPr>
          <w:b/>
          <w:bCs/>
        </w:rPr>
        <w:t>validée</w:t>
      </w:r>
      <w:r>
        <w:rPr/>
        <w:t>. Toute modification ultérieure d’une note par un utilisateur sans droit de validation la masque à nouveau jusqu’à une nouvelle validation.</w:t>
      </w:r>
    </w:p>
    <w:p>
      <w:pPr>
        <w:pStyle w:val="Normal"/>
        <w:spacing w:before="0" w:after="60"/>
        <w:rPr>
          <w:sz w:val="8"/>
        </w:rPr>
      </w:pPr>
      <w:r>
        <w:rPr>
          <w:sz w:val="8"/>
        </w:rPr>
      </w:r>
    </w:p>
    <w:p>
      <w:pPr>
        <w:pStyle w:val="BodyText"/>
        <w:rPr/>
      </w:pPr>
      <w:r>
        <w:rPr/>
        <w:t xml:space="preserve">Peuvent valider : les administrateurs et les rôles ayant le droit </w:t>
      </w:r>
      <w:r>
        <w:rPr>
          <w:i/>
          <w:iCs/>
        </w:rPr>
        <w:t>Pédagogie</w:t>
      </w:r>
      <w:r>
        <w:rPr/>
        <w:t xml:space="preserve"> en </w:t>
      </w:r>
      <w:r>
        <w:rPr>
          <w:b/>
          <w:bCs/>
        </w:rPr>
        <w:t>Écriture</w:t>
      </w:r>
      <w:r>
        <w:rPr/>
        <w:t>.</w:t>
      </w:r>
      <w:bookmarkEnd w:id="141"/>
    </w:p>
    <w:p>
      <w:pPr>
        <w:pStyle w:val="Heading3"/>
        <w:rPr/>
      </w:pPr>
      <w:bookmarkStart w:id="142" w:name="les-onglets-de-la-page-gestion-des-notes"/>
      <w:r>
        <w:rPr/>
        <w:t>Les onglets de la page « Gestion des Notes »</w:t>
      </w:r>
    </w:p>
    <w:p>
      <w:pPr>
        <w:pStyle w:val="FirstParagraph"/>
        <w:rPr/>
      </w:pPr>
      <w:r>
        <w:rPr/>
        <w:t xml:space="preserve">La page comporte quatre onglets : </w:t>
      </w:r>
      <w:r>
        <w:rPr>
          <w:i/>
          <w:iCs/>
        </w:rPr>
        <w:t>Saisie par Cours</w:t>
      </w:r>
      <w:r>
        <w:rPr/>
        <w:t xml:space="preserve">, </w:t>
      </w:r>
      <w:r>
        <w:rPr>
          <w:i/>
          <w:iCs/>
        </w:rPr>
        <w:t>Relevés par Étudiant</w:t>
      </w:r>
      <w:r>
        <w:rPr/>
        <w:t xml:space="preserve">, </w:t>
      </w:r>
      <w:r>
        <w:rPr>
          <w:i/>
          <w:iCs/>
        </w:rPr>
        <w:t>Récapitulatif par Classe</w:t>
      </w:r>
      <w:r>
        <w:rPr/>
        <w:t xml:space="preserve"> et </w:t>
      </w:r>
      <w:r>
        <w:rPr>
          <w:i/>
          <w:iCs/>
        </w:rPr>
        <w:t>Rattrapages</w:t>
      </w:r>
      <w:r>
        <w:rPr/>
        <w:t>.</w:t>
      </w:r>
    </w:p>
    <w:p>
      <w:pPr>
        <w:pStyle w:val="Heading4"/>
        <w:rPr/>
      </w:pPr>
      <w:bookmarkStart w:id="143" w:name="X02cb1ea2377cf93c060bb20a20eb856d107096d"/>
      <w:bookmarkEnd w:id="143"/>
      <w:r>
        <w:rPr>
          <w:i/>
          <w:iCs/>
        </w:rPr>
        <w:t>Saisie par Cours</w:t>
      </w:r>
      <w:r>
        <w:rPr/>
        <w:t xml:space="preserve"> — saisir les notes d’une classe</w:t>
      </w:r>
    </w:p>
    <w:p>
      <w:pPr>
        <w:pStyle w:val="Normal"/>
        <w:jc w:val="center"/>
        <w:rPr/>
      </w:pPr>
      <w:r>
        <w:rPr/>
        <w:drawing>
          <wp:inline distT="0" distB="0" distL="0" distR="0">
            <wp:extent cx="5334000" cy="3333750"/>
            <wp:effectExtent l="0" t="0" r="0" b="0"/>
            <wp:docPr id="33" name="Image33" descr="Saisie par cours : (1) Enregistrer tout, (2) Valider les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descr="Saisie par cours : (1) Enregistrer tout, (2) Valider les notes"/>
                    <pic:cNvPicPr>
                      <a:picLocks noChangeAspect="1" noChangeArrowheads="1"/>
                    </pic:cNvPicPr>
                  </pic:nvPicPr>
                  <pic:blipFill>
                    <a:blip r:embed="rId34"/>
                    <a:stretch>
                      <a:fillRect/>
                    </a:stretch>
                  </pic:blipFill>
                  <pic:spPr bwMode="auto">
                    <a:xfrm>
                      <a:off x="0" y="0"/>
                      <a:ext cx="5334000" cy="3333750"/>
                    </a:xfrm>
                    <a:prstGeom prst="rect">
                      <a:avLst/>
                    </a:prstGeom>
                  </pic:spPr>
                </pic:pic>
              </a:graphicData>
            </a:graphic>
          </wp:inline>
        </w:drawing>
      </w:r>
    </w:p>
    <w:p>
      <w:pPr>
        <w:pStyle w:val="ImageCaption"/>
        <w:rPr/>
      </w:pPr>
      <w:r>
        <w:rPr/>
        <w:t>Saisie par cours : (1) Enregistrer tout, (2) Valider les notes</w:t>
      </w:r>
    </w:p>
    <w:p>
      <w:pPr>
        <w:pStyle w:val="BodyText"/>
        <w:rPr/>
      </w:pPr>
      <w:r>
        <w:rPr/>
        <w:t>C’est la méthode recommandée.</w:t>
      </w:r>
    </w:p>
    <w:p>
      <w:pPr>
        <w:pStyle w:val="Compact"/>
        <w:numPr>
          <w:ilvl w:val="0"/>
          <w:numId w:val="266"/>
        </w:numPr>
        <w:rPr/>
      </w:pPr>
      <w:r>
        <w:rPr/>
        <w:t>Dans « Sélection du Cours », choisissez la « Classe » puis le « Module / Matière ».</w:t>
      </w:r>
    </w:p>
    <w:p>
      <w:pPr>
        <w:pStyle w:val="Compact"/>
        <w:numPr>
          <w:ilvl w:val="0"/>
          <w:numId w:val="267"/>
        </w:numPr>
        <w:rPr/>
      </w:pPr>
      <w:r>
        <w:rPr/>
        <w:t xml:space="preserve">Cliquez sur </w:t>
      </w:r>
      <w:r>
        <w:rPr>
          <w:b/>
          <w:bCs/>
        </w:rPr>
        <w:t>Charger la Liste</w:t>
      </w:r>
      <w:r>
        <w:rPr/>
        <w:t xml:space="preserve"> : tous les étudiants inscrits dans la classe apparaissent, avec leurs notes existantes.</w:t>
      </w:r>
    </w:p>
    <w:p>
      <w:pPr>
        <w:pStyle w:val="Compact"/>
        <w:numPr>
          <w:ilvl w:val="0"/>
          <w:numId w:val="268"/>
        </w:numPr>
        <w:rPr/>
      </w:pPr>
      <w:r>
        <w:rPr/>
        <w:t>Tapez les notes CC, SN (et Rattrapage s’il y a lieu) de chaque étudiant. La note finale se calcule à l’écran.</w:t>
      </w:r>
    </w:p>
    <w:p>
      <w:pPr>
        <w:pStyle w:val="Compact"/>
        <w:numPr>
          <w:ilvl w:val="0"/>
          <w:numId w:val="269"/>
        </w:numPr>
        <w:rPr/>
      </w:pPr>
      <w:r>
        <w:rPr/>
        <w:t xml:space="preserve">Cliquez sur </w:t>
      </w:r>
      <w:r>
        <w:rPr>
          <w:b/>
          <w:bCs/>
        </w:rPr>
        <w:t>Enregistrer tout</w:t>
      </w:r>
      <w:r>
        <w:rPr/>
        <w:t>.</w:t>
      </w:r>
    </w:p>
    <w:p>
      <w:pPr>
        <w:pStyle w:val="Compact"/>
        <w:numPr>
          <w:ilvl w:val="0"/>
          <w:numId w:val="270"/>
        </w:numPr>
        <w:rPr/>
      </w:pPr>
      <w:r>
        <w:rPr/>
        <w:t xml:space="preserve">Une fois les notes vérifiées, cliquez sur </w:t>
      </w:r>
      <w:r>
        <w:rPr>
          <w:b/>
          <w:bCs/>
        </w:rPr>
        <w:t>Valider les notes</w:t>
      </w:r>
      <w:r>
        <w:rPr/>
        <w:t xml:space="preserve"> pour les publier aux étudiants.</w:t>
      </w:r>
    </w:p>
    <w:p>
      <w:pPr>
        <w:pStyle w:val="FirstParagraph"/>
        <w:rPr/>
      </w:pPr>
      <w:r>
        <w:rPr/>
        <w:t>Autres boutons :</w:t>
      </w:r>
    </w:p>
    <w:p>
      <w:pPr>
        <w:pStyle w:val="Compact"/>
        <w:numPr>
          <w:ilvl w:val="0"/>
          <w:numId w:val="271"/>
        </w:numPr>
        <w:rPr/>
      </w:pPr>
      <w:r>
        <w:rPr>
          <w:b/>
          <w:bCs/>
        </w:rPr>
        <w:t>Dévalider</w:t>
      </w:r>
      <w:r>
        <w:rPr/>
        <w:t xml:space="preserve"> : masque de nouveau les notes de ce cours aux étudiants (correction en cours, par exemple) ;</w:t>
      </w:r>
    </w:p>
    <w:p>
      <w:pPr>
        <w:pStyle w:val="Compact"/>
        <w:numPr>
          <w:ilvl w:val="0"/>
          <w:numId w:val="272"/>
        </w:numPr>
        <w:rPr/>
      </w:pPr>
      <w:r>
        <w:rPr>
          <w:b/>
          <w:bCs/>
        </w:rPr>
        <w:t>Exporter par Module</w:t>
      </w:r>
      <w:r>
        <w:rPr/>
        <w:t xml:space="preserve"> : fichier Excel des notes du cours.</w:t>
      </w:r>
    </w:p>
    <w:p>
      <w:pPr>
        <w:pStyle w:val="EncadreInfo"/>
        <w:rPr/>
      </w:pPr>
      <w:r>
        <w:rPr>
          <w:b/>
          <w:bCs/>
        </w:rPr>
        <w:t>Lecture seule</w:t>
      </w:r>
    </w:p>
    <w:p>
      <w:pPr>
        <w:pStyle w:val="EncadreInfo"/>
        <w:rPr/>
      </w:pPr>
      <w:r>
        <w:rPr/>
        <w:t xml:space="preserve">Avec le droit </w:t>
      </w:r>
      <w:r>
        <w:rPr>
          <w:i/>
          <w:iCs/>
        </w:rPr>
        <w:t>Lecture</w:t>
      </w:r>
      <w:r>
        <w:rPr/>
        <w:t>, le message « Vous avez un accès en lecture seule sur ce module… » s’affiche : vous pouvez consulter et exporter, pas modifier.</w:t>
      </w:r>
    </w:p>
    <w:p>
      <w:pPr>
        <w:pStyle w:val="Normal"/>
        <w:spacing w:before="0" w:after="60"/>
        <w:rPr>
          <w:sz w:val="8"/>
        </w:rPr>
      </w:pPr>
      <w:r>
        <w:rPr>
          <w:sz w:val="8"/>
        </w:rPr>
      </w:r>
      <w:bookmarkStart w:id="144" w:name="X02cb1ea2377cf93c060bb20a20eb856d107096d"/>
      <w:bookmarkStart w:id="145" w:name="X02cb1ea2377cf93c060bb20a20eb856d107096d"/>
      <w:bookmarkEnd w:id="145"/>
    </w:p>
    <w:p>
      <w:pPr>
        <w:pStyle w:val="Heading4"/>
        <w:rPr/>
      </w:pPr>
      <w:bookmarkStart w:id="146" w:name="relevés-par-étudiant-relevé-de-notes"/>
      <w:r>
        <w:rPr>
          <w:i/>
          <w:iCs/>
        </w:rPr>
        <w:t>Relevés par Étudiant</w:t>
      </w:r>
      <w:r>
        <w:rPr/>
        <w:t xml:space="preserve"> — relevé de notes</w:t>
      </w:r>
    </w:p>
    <w:p>
      <w:pPr>
        <w:pStyle w:val="Normal"/>
        <w:jc w:val="center"/>
        <w:rPr/>
      </w:pPr>
      <w:r>
        <w:rPr/>
        <w:drawing>
          <wp:inline distT="0" distB="0" distL="0" distR="0">
            <wp:extent cx="5334000" cy="3333750"/>
            <wp:effectExtent l="0" t="0" r="0" b="0"/>
            <wp:docPr id="34" name="Image34" descr="Le relevé de notes géné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4" descr="Le relevé de notes généré"/>
                    <pic:cNvPicPr>
                      <a:picLocks noChangeAspect="1" noChangeArrowheads="1"/>
                    </pic:cNvPicPr>
                  </pic:nvPicPr>
                  <pic:blipFill>
                    <a:blip r:embed="rId35"/>
                    <a:stretch>
                      <a:fillRect/>
                    </a:stretch>
                  </pic:blipFill>
                  <pic:spPr bwMode="auto">
                    <a:xfrm>
                      <a:off x="0" y="0"/>
                      <a:ext cx="5334000" cy="3333750"/>
                    </a:xfrm>
                    <a:prstGeom prst="rect">
                      <a:avLst/>
                    </a:prstGeom>
                  </pic:spPr>
                </pic:pic>
              </a:graphicData>
            </a:graphic>
          </wp:inline>
        </w:drawing>
      </w:r>
    </w:p>
    <w:p>
      <w:pPr>
        <w:pStyle w:val="ImageCaption"/>
        <w:rPr/>
      </w:pPr>
      <w:r>
        <w:rPr/>
        <w:t>Le relevé de notes généré</w:t>
      </w:r>
    </w:p>
    <w:p>
      <w:pPr>
        <w:pStyle w:val="Compact"/>
        <w:numPr>
          <w:ilvl w:val="0"/>
          <w:numId w:val="273"/>
        </w:numPr>
        <w:rPr/>
      </w:pPr>
      <w:r>
        <w:rPr/>
        <w:t>Choisissez la « Filière », le « Cycle », la « Classe », l’« Étudiant » et le « Semestre ».</w:t>
      </w:r>
    </w:p>
    <w:p>
      <w:pPr>
        <w:pStyle w:val="Compact"/>
        <w:numPr>
          <w:ilvl w:val="0"/>
          <w:numId w:val="274"/>
        </w:numPr>
        <w:rPr/>
      </w:pPr>
      <w:r>
        <w:rPr/>
        <w:t xml:space="preserve">Cliquez sur </w:t>
      </w:r>
      <w:r>
        <w:rPr>
          <w:b/>
          <w:bCs/>
        </w:rPr>
        <w:t>Générer le Relevé</w:t>
      </w:r>
      <w:r>
        <w:rPr/>
        <w:t xml:space="preserve"> : le relevé s’affiche (cours, coefficients, notes, moyenne).</w:t>
      </w:r>
    </w:p>
    <w:p>
      <w:pPr>
        <w:pStyle w:val="Compact"/>
        <w:numPr>
          <w:ilvl w:val="0"/>
          <w:numId w:val="275"/>
        </w:numPr>
        <w:rPr/>
      </w:pPr>
      <w:r>
        <w:rPr>
          <w:b/>
          <w:bCs/>
        </w:rPr>
        <w:t>Télécharger PDF</w:t>
      </w:r>
      <w:r>
        <w:rPr/>
        <w:t xml:space="preserve"> pour l’imprimer ou l’envoyer.</w:t>
      </w:r>
      <w:bookmarkEnd w:id="146"/>
    </w:p>
    <w:p>
      <w:pPr>
        <w:pStyle w:val="Heading4"/>
        <w:rPr/>
      </w:pPr>
      <w:bookmarkStart w:id="147" w:name="récapitulatif-par-classe-procès-verbal"/>
      <w:r>
        <w:rPr>
          <w:i/>
          <w:iCs/>
        </w:rPr>
        <w:t>Récapitulatif par Classe</w:t>
      </w:r>
      <w:r>
        <w:rPr/>
        <w:t xml:space="preserve"> — procès-verbal</w:t>
      </w:r>
    </w:p>
    <w:p>
      <w:pPr>
        <w:pStyle w:val="Normal"/>
        <w:jc w:val="center"/>
        <w:rPr/>
      </w:pPr>
      <w:r>
        <w:rPr/>
        <w:drawing>
          <wp:inline distT="0" distB="0" distL="0" distR="0">
            <wp:extent cx="5334000" cy="3333750"/>
            <wp:effectExtent l="0" t="0" r="0" b="0"/>
            <wp:docPr id="35" name="Image35" descr="Le récapitulatif des notes d’une cl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5" descr="Le récapitulatif des notes d’une classe"/>
                    <pic:cNvPicPr>
                      <a:picLocks noChangeAspect="1" noChangeArrowheads="1"/>
                    </pic:cNvPicPr>
                  </pic:nvPicPr>
                  <pic:blipFill>
                    <a:blip r:embed="rId36"/>
                    <a:stretch>
                      <a:fillRect/>
                    </a:stretch>
                  </pic:blipFill>
                  <pic:spPr bwMode="auto">
                    <a:xfrm>
                      <a:off x="0" y="0"/>
                      <a:ext cx="5334000" cy="3333750"/>
                    </a:xfrm>
                    <a:prstGeom prst="rect">
                      <a:avLst/>
                    </a:prstGeom>
                  </pic:spPr>
                </pic:pic>
              </a:graphicData>
            </a:graphic>
          </wp:inline>
        </w:drawing>
      </w:r>
    </w:p>
    <w:p>
      <w:pPr>
        <w:pStyle w:val="ImageCaption"/>
        <w:rPr/>
      </w:pPr>
      <w:r>
        <w:rPr/>
        <w:t>Le récapitulatif des notes d’une classe</w:t>
      </w:r>
    </w:p>
    <w:p>
      <w:pPr>
        <w:pStyle w:val="Compact"/>
        <w:numPr>
          <w:ilvl w:val="0"/>
          <w:numId w:val="276"/>
        </w:numPr>
        <w:rPr/>
      </w:pPr>
      <w:r>
        <w:rPr/>
        <w:t>Dans « Sélection de la classe », choisissez la classe (et le semestre).</w:t>
      </w:r>
    </w:p>
    <w:p>
      <w:pPr>
        <w:pStyle w:val="Compact"/>
        <w:numPr>
          <w:ilvl w:val="0"/>
          <w:numId w:val="277"/>
        </w:numPr>
        <w:rPr/>
      </w:pPr>
      <w:r>
        <w:rPr/>
        <w:t>Le tableau « Récapitulatif des Notes » présente tous les étudiants et tous les cours.</w:t>
      </w:r>
    </w:p>
    <w:p>
      <w:pPr>
        <w:pStyle w:val="Compact"/>
        <w:numPr>
          <w:ilvl w:val="0"/>
          <w:numId w:val="278"/>
        </w:numPr>
        <w:rPr/>
      </w:pPr>
      <w:r>
        <w:rPr>
          <w:b/>
          <w:bCs/>
        </w:rPr>
        <w:t>Télécharger le Récapitulatif (PDF)</w:t>
      </w:r>
      <w:r>
        <w:rPr/>
        <w:t xml:space="preserve"> ou </w:t>
      </w:r>
      <w:r>
        <w:rPr>
          <w:b/>
          <w:bCs/>
        </w:rPr>
        <w:t>Exporter (Excel)</w:t>
      </w:r>
      <w:r>
        <w:rPr/>
        <w:t>.</w:t>
      </w:r>
      <w:bookmarkEnd w:id="147"/>
    </w:p>
    <w:p>
      <w:pPr>
        <w:pStyle w:val="Heading4"/>
        <w:rPr/>
      </w:pPr>
      <w:bookmarkStart w:id="148" w:name="rattrapages-étudiants-à-convoquer"/>
      <w:r>
        <w:rPr>
          <w:i/>
          <w:iCs/>
        </w:rPr>
        <w:t>Rattrapages</w:t>
      </w:r>
      <w:r>
        <w:rPr/>
        <w:t xml:space="preserve"> — étudiants à convoquer</w:t>
      </w:r>
    </w:p>
    <w:p>
      <w:pPr>
        <w:pStyle w:val="Normal"/>
        <w:jc w:val="center"/>
        <w:rPr/>
      </w:pPr>
      <w:r>
        <w:rPr/>
        <w:drawing>
          <wp:inline distT="0" distB="0" distL="0" distR="0">
            <wp:extent cx="5334000" cy="3333750"/>
            <wp:effectExtent l="0" t="0" r="0" b="0"/>
            <wp:docPr id="36" name="Image36" descr="La liste des étudiants en rattra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6" descr="La liste des étudiants en rattrapage"/>
                    <pic:cNvPicPr>
                      <a:picLocks noChangeAspect="1" noChangeArrowheads="1"/>
                    </pic:cNvPicPr>
                  </pic:nvPicPr>
                  <pic:blipFill>
                    <a:blip r:embed="rId37"/>
                    <a:stretch>
                      <a:fillRect/>
                    </a:stretch>
                  </pic:blipFill>
                  <pic:spPr bwMode="auto">
                    <a:xfrm>
                      <a:off x="0" y="0"/>
                      <a:ext cx="5334000" cy="3333750"/>
                    </a:xfrm>
                    <a:prstGeom prst="rect">
                      <a:avLst/>
                    </a:prstGeom>
                  </pic:spPr>
                </pic:pic>
              </a:graphicData>
            </a:graphic>
          </wp:inline>
        </w:drawing>
      </w:r>
    </w:p>
    <w:p>
      <w:pPr>
        <w:pStyle w:val="ImageCaption"/>
        <w:rPr/>
      </w:pPr>
      <w:r>
        <w:rPr/>
        <w:t>La liste des étudiants en rattrapage</w:t>
      </w:r>
    </w:p>
    <w:p>
      <w:pPr>
        <w:pStyle w:val="BodyText"/>
        <w:rPr/>
      </w:pPr>
      <w:r>
        <w:rPr/>
        <w:t xml:space="preserve">Liste des « Étudiants en rattrapage » : toutes les notes finales </w:t>
      </w:r>
      <w:r>
        <w:rPr>
          <w:b/>
          <w:bCs/>
        </w:rPr>
        <w:t>inférieures à 50/100</w:t>
      </w:r>
      <w:r>
        <w:rPr/>
        <w:t xml:space="preserve"> (10/20), avec la salle habituelle du cours. Filtrez par classe et semestre, puis </w:t>
      </w:r>
      <w:r>
        <w:rPr>
          <w:b/>
          <w:bCs/>
        </w:rPr>
        <w:t>Télécharger le PDF</w:t>
      </w:r>
      <w:r>
        <w:rPr/>
        <w:t xml:space="preserve"> pour l’affichage ou la convocation.</w:t>
      </w:r>
    </w:p>
    <w:p>
      <w:pPr>
        <w:pStyle w:val="BodyText"/>
        <w:rPr/>
      </w:pPr>
      <w:r>
        <w:rPr/>
        <w:t xml:space="preserve">Pour saisir la note de rattrapage : onglet </w:t>
      </w:r>
      <w:r>
        <w:rPr>
          <w:i/>
          <w:iCs/>
        </w:rPr>
        <w:t>Saisie par Cours</w:t>
      </w:r>
      <w:r>
        <w:rPr/>
        <w:t xml:space="preserve">, colonne Rattrapage, puis </w:t>
      </w:r>
      <w:r>
        <w:rPr>
          <w:b/>
          <w:bCs/>
        </w:rPr>
        <w:t>Enregistrer tout</w:t>
      </w:r>
      <w:r>
        <w:rPr/>
        <w:t xml:space="preserve"> et </w:t>
      </w:r>
      <w:r>
        <w:rPr>
          <w:b/>
          <w:bCs/>
        </w:rPr>
        <w:t>Valider les notes</w:t>
      </w:r>
      <w:r>
        <w:rPr/>
        <w:t>.</w:t>
      </w:r>
      <w:bookmarkEnd w:id="142"/>
      <w:bookmarkEnd w:id="148"/>
    </w:p>
    <w:p>
      <w:pPr>
        <w:pStyle w:val="Heading3"/>
        <w:rPr/>
      </w:pPr>
      <w:bookmarkStart w:id="149" w:name="saisie-par-les-formateurs"/>
      <w:r>
        <w:rPr/>
        <w:t>Saisie par les formateurs</w:t>
      </w:r>
    </w:p>
    <w:p>
      <w:pPr>
        <w:pStyle w:val="FirstParagraph"/>
        <w:rPr/>
      </w:pPr>
      <w:r>
        <w:rPr/>
        <w:t xml:space="preserve">Les formateurs saisissent eux-mêmes les notes de leurs cours depuis leur portail (voir Portail formateur). Ces notes arrivent </w:t>
      </w:r>
      <w:r>
        <w:rPr>
          <w:b/>
          <w:bCs/>
        </w:rPr>
        <w:t>non validées</w:t>
      </w:r>
      <w:r>
        <w:rPr/>
        <w:t xml:space="preserve"> : l’administration les contrôle puis clique sur </w:t>
      </w:r>
      <w:r>
        <w:rPr>
          <w:b/>
          <w:bCs/>
        </w:rPr>
        <w:t>Valider les notes</w:t>
      </w:r>
      <w:r>
        <w:rPr/>
        <w:t>.</w:t>
      </w:r>
      <w:bookmarkEnd w:id="138"/>
      <w:bookmarkEnd w:id="149"/>
    </w:p>
    <w:p>
      <w:pPr>
        <w:pStyle w:val="Heading2"/>
        <w:rPr/>
      </w:pPr>
      <w:bookmarkStart w:id="150" w:name="__RefHeading___Toc15164_1458957718"/>
      <w:bookmarkStart w:id="151" w:name="administration-banque-dépreuves"/>
      <w:bookmarkEnd w:id="150"/>
      <w:r>
        <w:rPr/>
        <w:t>Administration — Banque d’épreuves</w:t>
      </w:r>
    </w:p>
    <w:p>
      <w:pPr>
        <w:pStyle w:val="FirstParagraph"/>
        <w:rPr/>
      </w:pPr>
      <w:r>
        <w:rPr>
          <w:b/>
          <w:bCs/>
        </w:rPr>
        <w:t>Menu :</w:t>
      </w:r>
      <w:r>
        <w:rPr/>
        <w:t xml:space="preserve"> Pédagogie → Banque d’épreuves — </w:t>
      </w:r>
      <w:r>
        <w:rPr>
          <w:b/>
          <w:bCs/>
        </w:rPr>
        <w:t>Accès :</w:t>
      </w:r>
      <w:r>
        <w:rPr/>
        <w:t xml:space="preserve"> domaine </w:t>
      </w:r>
      <w:r>
        <w:rPr>
          <w:i/>
          <w:iCs/>
        </w:rPr>
        <w:t>Pédagogie</w:t>
      </w:r>
      <w:r>
        <w:rPr/>
        <w:t>.</w:t>
      </w:r>
    </w:p>
    <w:p>
      <w:pPr>
        <w:pStyle w:val="BodyText"/>
        <w:rPr/>
      </w:pPr>
      <w:r>
        <w:rPr/>
        <w:t>La banque d’épreuves archive les sujets d’examen (et leurs corrigés) pour que les étudiants puissent s’entraîner.</w:t>
      </w:r>
    </w:p>
    <w:p>
      <w:pPr>
        <w:pStyle w:val="Heading3"/>
        <w:rPr/>
      </w:pPr>
      <w:bookmarkStart w:id="152" w:name="ajouter-une-épreuve"/>
      <w:r>
        <w:rPr/>
        <w:t>Ajouter une épreuve</w:t>
      </w:r>
    </w:p>
    <w:p>
      <w:pPr>
        <w:pStyle w:val="Normal"/>
        <w:jc w:val="center"/>
        <w:rPr/>
      </w:pPr>
      <w:r>
        <w:rPr/>
        <w:drawing>
          <wp:inline distT="0" distB="0" distL="0" distR="0">
            <wp:extent cx="5334000" cy="3333750"/>
            <wp:effectExtent l="0" t="0" r="0" b="0"/>
            <wp:docPr id="37" name="Image37" descr="La banque d’épreuves (admin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7" descr="La banque d’épreuves (administration)"/>
                    <pic:cNvPicPr>
                      <a:picLocks noChangeAspect="1" noChangeArrowheads="1"/>
                    </pic:cNvPicPr>
                  </pic:nvPicPr>
                  <pic:blipFill>
                    <a:blip r:embed="rId38"/>
                    <a:stretch>
                      <a:fillRect/>
                    </a:stretch>
                  </pic:blipFill>
                  <pic:spPr bwMode="auto">
                    <a:xfrm>
                      <a:off x="0" y="0"/>
                      <a:ext cx="5334000" cy="3333750"/>
                    </a:xfrm>
                    <a:prstGeom prst="rect">
                      <a:avLst/>
                    </a:prstGeom>
                  </pic:spPr>
                </pic:pic>
              </a:graphicData>
            </a:graphic>
          </wp:inline>
        </w:drawing>
      </w:r>
    </w:p>
    <w:p>
      <w:pPr>
        <w:pStyle w:val="ImageCaption"/>
        <w:rPr/>
      </w:pPr>
      <w:r>
        <w:rPr/>
        <w:t>La banque d’épreuves (administration)</w:t>
      </w:r>
    </w:p>
    <w:p>
      <w:pPr>
        <w:pStyle w:val="Normal"/>
        <w:jc w:val="center"/>
        <w:rPr/>
      </w:pPr>
      <w:r>
        <w:rPr/>
        <w:drawing>
          <wp:inline distT="0" distB="0" distL="0" distR="0">
            <wp:extent cx="5334000" cy="3333750"/>
            <wp:effectExtent l="0" t="0" r="0" b="0"/>
            <wp:docPr id="38" name="Image38" descr="Le formulaire « Importer une épreu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8" descr="Le formulaire « Importer une épreuve »"/>
                    <pic:cNvPicPr>
                      <a:picLocks noChangeAspect="1" noChangeArrowheads="1"/>
                    </pic:cNvPicPr>
                  </pic:nvPicPr>
                  <pic:blipFill>
                    <a:blip r:embed="rId39"/>
                    <a:stretch>
                      <a:fillRect/>
                    </a:stretch>
                  </pic:blipFill>
                  <pic:spPr bwMode="auto">
                    <a:xfrm>
                      <a:off x="0" y="0"/>
                      <a:ext cx="5334000" cy="3333750"/>
                    </a:xfrm>
                    <a:prstGeom prst="rect">
                      <a:avLst/>
                    </a:prstGeom>
                  </pic:spPr>
                </pic:pic>
              </a:graphicData>
            </a:graphic>
          </wp:inline>
        </w:drawing>
      </w:r>
    </w:p>
    <w:p>
      <w:pPr>
        <w:pStyle w:val="ImageCaption"/>
        <w:rPr/>
      </w:pPr>
      <w:r>
        <w:rPr/>
        <w:t>Le formulaire « Importer une épreuve »</w:t>
      </w:r>
    </w:p>
    <w:p>
      <w:pPr>
        <w:pStyle w:val="Normal"/>
        <w:numPr>
          <w:ilvl w:val="0"/>
          <w:numId w:val="279"/>
        </w:numPr>
        <w:rPr/>
      </w:pPr>
      <w:r>
        <w:rPr/>
        <w:t xml:space="preserve">Cliquez sur </w:t>
      </w:r>
      <w:r>
        <w:rPr>
          <w:b/>
          <w:bCs/>
        </w:rPr>
        <w:t>Importer une épreuve</w:t>
      </w:r>
      <w:r>
        <w:rPr/>
        <w:t>.</w:t>
      </w:r>
    </w:p>
    <w:p>
      <w:pPr>
        <w:pStyle w:val="Normal"/>
        <w:numPr>
          <w:ilvl w:val="0"/>
          <w:numId w:val="280"/>
        </w:numPr>
        <w:rPr/>
      </w:pPr>
      <w:r>
        <w:rPr/>
        <w:t>Remplissez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4101"/>
        <w:gridCol w:w="5536"/>
      </w:tblGrid>
      <w:tr>
        <w:trPr>
          <w:tblHeader w:val="true"/>
          <w:cantSplit w:val="true"/>
        </w:trPr>
        <w:tc>
          <w:tcPr>
            <w:tcW w:w="410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553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Remarque</w:t>
            </w:r>
          </w:p>
        </w:tc>
      </w:tr>
      <w:tr>
        <w:trPr>
          <w:cantSplit w:val="true"/>
        </w:trPr>
        <w:tc>
          <w:tcPr>
            <w:tcW w:w="4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de l’épreuve</w:t>
            </w:r>
          </w:p>
        </w:tc>
        <w:tc>
          <w:tcPr>
            <w:tcW w:w="55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Ex. « Examen Algorithmique S1 2025 ».</w:t>
            </w:r>
          </w:p>
        </w:tc>
      </w:tr>
      <w:tr>
        <w:trPr>
          <w:cantSplit w:val="true"/>
        </w:trPr>
        <w:tc>
          <w:tcPr>
            <w:tcW w:w="4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Auteur (Formateur)</w:t>
            </w:r>
          </w:p>
        </w:tc>
        <w:tc>
          <w:tcPr>
            <w:tcW w:w="55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4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Description</w:t>
            </w:r>
          </w:p>
        </w:tc>
        <w:tc>
          <w:tcPr>
            <w:tcW w:w="55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Facultatif.</w:t>
            </w:r>
          </w:p>
        </w:tc>
      </w:tr>
      <w:tr>
        <w:trPr>
          <w:cantSplit w:val="true"/>
        </w:trPr>
        <w:tc>
          <w:tcPr>
            <w:tcW w:w="4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Classe, Module, Année académique, Semestre</w:t>
            </w:r>
          </w:p>
        </w:tc>
        <w:tc>
          <w:tcPr>
            <w:tcW w:w="55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Servent au classement et aux filtres.</w:t>
            </w:r>
          </w:p>
        </w:tc>
      </w:tr>
      <w:tr>
        <w:trPr>
          <w:cantSplit w:val="true"/>
        </w:trPr>
        <w:tc>
          <w:tcPr>
            <w:tcW w:w="4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Type d’épreuve</w:t>
            </w:r>
          </w:p>
        </w:tc>
        <w:tc>
          <w:tcPr>
            <w:tcW w:w="55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Contrôle, examen, rattrapage…</w:t>
            </w:r>
          </w:p>
        </w:tc>
      </w:tr>
      <w:tr>
        <w:trPr>
          <w:cantSplit w:val="true"/>
        </w:trPr>
        <w:tc>
          <w:tcPr>
            <w:tcW w:w="4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Fichiers</w:t>
            </w:r>
          </w:p>
        </w:tc>
        <w:tc>
          <w:tcPr>
            <w:tcW w:w="55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Le </w:t>
            </w:r>
            <w:r>
              <w:rPr>
                <w:rFonts w:eastAsia="Calibri" w:cs="Calibri"/>
                <w:b/>
                <w:bCs/>
                <w:kern w:val="0"/>
                <w:sz w:val="19"/>
                <w:szCs w:val="19"/>
                <w:lang w:val="fr-FR" w:eastAsia="en-US" w:bidi="ar-SA"/>
              </w:rPr>
              <w:t>sujet</w:t>
            </w:r>
            <w:r>
              <w:rPr>
                <w:rFonts w:eastAsia="Calibri" w:cs="Calibri"/>
                <w:kern w:val="0"/>
                <w:sz w:val="19"/>
                <w:szCs w:val="19"/>
                <w:lang w:val="fr-FR" w:eastAsia="en-US" w:bidi="ar-SA"/>
              </w:rPr>
              <w:t xml:space="preserve"> et, si possible, le </w:t>
            </w:r>
            <w:r>
              <w:rPr>
                <w:rFonts w:eastAsia="Calibri" w:cs="Calibri"/>
                <w:b/>
                <w:bCs/>
                <w:kern w:val="0"/>
                <w:sz w:val="19"/>
                <w:szCs w:val="19"/>
                <w:lang w:val="fr-FR" w:eastAsia="en-US" w:bidi="ar-SA"/>
              </w:rPr>
              <w:t>corrigé</w:t>
            </w:r>
            <w:r>
              <w:rPr>
                <w:rFonts w:eastAsia="Calibri" w:cs="Calibri"/>
                <w:kern w:val="0"/>
                <w:sz w:val="19"/>
                <w:szCs w:val="19"/>
                <w:lang w:val="fr-FR" w:eastAsia="en-US" w:bidi="ar-SA"/>
              </w:rPr>
              <w:t xml:space="preserve"> (PDF ou image).</w:t>
            </w:r>
          </w:p>
        </w:tc>
      </w:tr>
      <w:tr>
        <w:trPr>
          <w:cantSplit w:val="true"/>
        </w:trPr>
        <w:tc>
          <w:tcPr>
            <w:tcW w:w="4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Rendre accessible aux étudiants</w:t>
            </w:r>
          </w:p>
        </w:tc>
        <w:tc>
          <w:tcPr>
            <w:tcW w:w="553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Cochez pour publier l’épreuve sur le portail étudiant.</w:t>
            </w:r>
          </w:p>
        </w:tc>
      </w:tr>
    </w:tbl>
    <w:p>
      <w:pPr>
        <w:pStyle w:val="Normal"/>
        <w:numPr>
          <w:ilvl w:val="0"/>
          <w:numId w:val="281"/>
        </w:numPr>
        <w:rPr/>
      </w:pPr>
      <w:bookmarkStart w:id="153" w:name="ajouter-une-épreuve"/>
      <w:r>
        <w:rPr/>
        <w:t>Enregistrez.</w:t>
      </w:r>
      <w:bookmarkEnd w:id="153"/>
    </w:p>
    <w:p>
      <w:pPr>
        <w:pStyle w:val="Heading3"/>
        <w:rPr/>
      </w:pPr>
      <w:bookmarkStart w:id="154" w:name="consulter-publier-retirer"/>
      <w:r>
        <w:rPr/>
        <w:t>Consulter, publier, retirer</w:t>
      </w:r>
    </w:p>
    <w:p>
      <w:pPr>
        <w:pStyle w:val="FirstParagraph"/>
        <w:rPr/>
      </w:pPr>
      <w:r>
        <w:rPr/>
        <w:t xml:space="preserve">Chaque épreuve propose </w:t>
      </w:r>
      <w:r>
        <w:rPr>
          <w:b/>
          <w:bCs/>
        </w:rPr>
        <w:t>Voir Sujet</w:t>
      </w:r>
      <w:r>
        <w:rPr/>
        <w:t xml:space="preserve">, </w:t>
      </w:r>
      <w:r>
        <w:rPr>
          <w:b/>
          <w:bCs/>
        </w:rPr>
        <w:t>Voir Corrigé</w:t>
      </w:r>
      <w:r>
        <w:rPr/>
        <w:t xml:space="preserve">, </w:t>
      </w:r>
      <w:r>
        <w:rPr>
          <w:b/>
          <w:bCs/>
        </w:rPr>
        <w:t>Télécharger Sujet</w:t>
      </w:r>
      <w:r>
        <w:rPr/>
        <w:t xml:space="preserve">, </w:t>
      </w:r>
      <w:r>
        <w:rPr>
          <w:b/>
          <w:bCs/>
        </w:rPr>
        <w:t>Télécharger Corrigé</w:t>
      </w:r>
      <w:r>
        <w:rPr/>
        <w:t xml:space="preserve">, </w:t>
      </w:r>
      <w:r>
        <w:rPr>
          <w:b/>
          <w:bCs/>
        </w:rPr>
        <w:t>Modifier</w:t>
      </w:r>
      <w:r>
        <w:rPr/>
        <w:t xml:space="preserve"> et </w:t>
      </w:r>
      <w:r>
        <w:rPr>
          <w:b/>
          <w:bCs/>
        </w:rPr>
        <w:t>Supprimer</w:t>
      </w:r>
      <w:r>
        <w:rPr/>
        <w:t>.</w:t>
      </w:r>
    </w:p>
    <w:p>
      <w:pPr>
        <w:pStyle w:val="Compact"/>
        <w:numPr>
          <w:ilvl w:val="0"/>
          <w:numId w:val="282"/>
        </w:numPr>
        <w:rPr/>
      </w:pPr>
      <w:r>
        <w:rPr/>
        <w:t xml:space="preserve">Les épreuves déposées par les formateurs depuis leur portail apparaissent aussi ici. Si le formateur n’a pas coché « Partager immédiatement aux étudiants », l’épreuve reste privée : ouvrez </w:t>
      </w:r>
      <w:r>
        <w:rPr>
          <w:b/>
          <w:bCs/>
        </w:rPr>
        <w:t>Modifier</w:t>
      </w:r>
      <w:r>
        <w:rPr/>
        <w:t xml:space="preserve"> et cochez « Rendre accessible aux étudiants » pour la publier.</w:t>
      </w:r>
    </w:p>
    <w:p>
      <w:pPr>
        <w:pStyle w:val="Compact"/>
        <w:numPr>
          <w:ilvl w:val="0"/>
          <w:numId w:val="283"/>
        </w:numPr>
        <w:rPr/>
      </w:pPr>
      <w:bookmarkStart w:id="155" w:name="administration-banque-dépreuves"/>
      <w:bookmarkStart w:id="156" w:name="consulter-publier-retirer"/>
      <w:r>
        <w:rPr/>
        <w:t>Pour retirer une épreuve du portail sans la supprimer, décochez « Rendre accessible aux étudiants ».</w:t>
      </w:r>
      <w:bookmarkEnd w:id="155"/>
      <w:bookmarkEnd w:id="156"/>
    </w:p>
    <w:p>
      <w:pPr>
        <w:pStyle w:val="Heading2"/>
        <w:rPr/>
      </w:pPr>
      <w:bookmarkStart w:id="157" w:name="__RefHeading___Toc15166_1458957718"/>
      <w:bookmarkStart w:id="158" w:name="X60af97d9ed24134c21fd813cca1ec4b776bb3d2"/>
      <w:bookmarkEnd w:id="157"/>
      <w:r>
        <w:rPr/>
        <w:t>Administration — Assiduité (absences et retards des étudiants)</w:t>
      </w:r>
    </w:p>
    <w:p>
      <w:pPr>
        <w:pStyle w:val="FirstParagraph"/>
        <w:rPr/>
      </w:pPr>
      <w:r>
        <w:rPr>
          <w:b/>
          <w:bCs/>
        </w:rPr>
        <w:t>Menu :</w:t>
      </w:r>
      <w:r>
        <w:rPr/>
        <w:t xml:space="preserve"> Pédagogie → Assiduité — </w:t>
      </w:r>
      <w:r>
        <w:rPr>
          <w:b/>
          <w:bCs/>
        </w:rPr>
        <w:t>Accès :</w:t>
      </w:r>
      <w:r>
        <w:rPr/>
        <w:t xml:space="preserve"> domaine </w:t>
      </w:r>
      <w:r>
        <w:rPr>
          <w:i/>
          <w:iCs/>
        </w:rPr>
        <w:t>Pédagogie</w:t>
      </w:r>
      <w:r>
        <w:rPr/>
        <w:t>.</w:t>
      </w:r>
    </w:p>
    <w:p>
      <w:pPr>
        <w:pStyle w:val="Heading3"/>
        <w:rPr/>
      </w:pPr>
      <w:bookmarkStart w:id="159" w:name="enregistrer-une-absence-ou-un-retard"/>
      <w:r>
        <w:rPr/>
        <w:t>Enregistrer une absence ou un retard</w:t>
      </w:r>
    </w:p>
    <w:p>
      <w:pPr>
        <w:pStyle w:val="Normal"/>
        <w:jc w:val="center"/>
        <w:rPr/>
      </w:pPr>
      <w:r>
        <w:rPr/>
        <w:drawing>
          <wp:inline distT="0" distB="0" distL="0" distR="0">
            <wp:extent cx="5334000" cy="3333750"/>
            <wp:effectExtent l="0" t="0" r="0" b="0"/>
            <wp:docPr id="39" name="Image39" descr="La page Assidu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9" descr="La page Assiduité"/>
                    <pic:cNvPicPr>
                      <a:picLocks noChangeAspect="1" noChangeArrowheads="1"/>
                    </pic:cNvPicPr>
                  </pic:nvPicPr>
                  <pic:blipFill>
                    <a:blip r:embed="rId40"/>
                    <a:stretch>
                      <a:fillRect/>
                    </a:stretch>
                  </pic:blipFill>
                  <pic:spPr bwMode="auto">
                    <a:xfrm>
                      <a:off x="0" y="0"/>
                      <a:ext cx="5334000" cy="3333750"/>
                    </a:xfrm>
                    <a:prstGeom prst="rect">
                      <a:avLst/>
                    </a:prstGeom>
                  </pic:spPr>
                </pic:pic>
              </a:graphicData>
            </a:graphic>
          </wp:inline>
        </w:drawing>
      </w:r>
    </w:p>
    <w:p>
      <w:pPr>
        <w:pStyle w:val="ImageCaption"/>
        <w:rPr/>
      </w:pPr>
      <w:r>
        <w:rPr/>
        <w:t>La page Assiduité</w:t>
      </w:r>
    </w:p>
    <w:p>
      <w:pPr>
        <w:pStyle w:val="Normal"/>
        <w:jc w:val="center"/>
        <w:rPr/>
      </w:pPr>
      <w:r>
        <w:rPr/>
        <w:drawing>
          <wp:inline distT="0" distB="0" distL="0" distR="0">
            <wp:extent cx="5334000" cy="3333750"/>
            <wp:effectExtent l="0" t="0" r="0" b="0"/>
            <wp:docPr id="40" name="Image40" descr="Le formulaire d’enregistrement d’une absence ou d’un ret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0" descr="Le formulaire d’enregistrement d’une absence ou d’un retard"/>
                    <pic:cNvPicPr>
                      <a:picLocks noChangeAspect="1" noChangeArrowheads="1"/>
                    </pic:cNvPicPr>
                  </pic:nvPicPr>
                  <pic:blipFill>
                    <a:blip r:embed="rId41"/>
                    <a:stretch>
                      <a:fillRect/>
                    </a:stretch>
                  </pic:blipFill>
                  <pic:spPr bwMode="auto">
                    <a:xfrm>
                      <a:off x="0" y="0"/>
                      <a:ext cx="5334000" cy="3333750"/>
                    </a:xfrm>
                    <a:prstGeom prst="rect">
                      <a:avLst/>
                    </a:prstGeom>
                  </pic:spPr>
                </pic:pic>
              </a:graphicData>
            </a:graphic>
          </wp:inline>
        </w:drawing>
      </w:r>
    </w:p>
    <w:p>
      <w:pPr>
        <w:pStyle w:val="ImageCaption"/>
        <w:rPr/>
      </w:pPr>
      <w:r>
        <w:rPr/>
        <w:t>Le formulaire d’enregistrement d’une absence ou d’un retard</w:t>
      </w:r>
    </w:p>
    <w:p>
      <w:pPr>
        <w:pStyle w:val="Normal"/>
        <w:numPr>
          <w:ilvl w:val="0"/>
          <w:numId w:val="284"/>
        </w:numPr>
        <w:rPr/>
      </w:pPr>
      <w:r>
        <w:rPr/>
        <w:t xml:space="preserve">Cliquez sur </w:t>
      </w:r>
      <w:r>
        <w:rPr>
          <w:b/>
          <w:bCs/>
        </w:rPr>
        <w:t>Ajouter une absence / un retard</w:t>
      </w:r>
      <w:r>
        <w:rPr/>
        <w:t>.</w:t>
      </w:r>
    </w:p>
    <w:p>
      <w:pPr>
        <w:pStyle w:val="Normal"/>
        <w:numPr>
          <w:ilvl w:val="0"/>
          <w:numId w:val="285"/>
        </w:numPr>
        <w:rPr/>
      </w:pPr>
      <w:r>
        <w:rPr/>
        <w:t>Remplissez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3334"/>
        <w:gridCol w:w="6303"/>
      </w:tblGrid>
      <w:tr>
        <w:trPr>
          <w:tblHeader w:val="true"/>
          <w:cantSplit w:val="true"/>
        </w:trPr>
        <w:tc>
          <w:tcPr>
            <w:tcW w:w="333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630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Remarque</w:t>
            </w:r>
          </w:p>
        </w:tc>
      </w:tr>
      <w:tr>
        <w:trPr>
          <w:cantSplit w:val="true"/>
        </w:trPr>
        <w:tc>
          <w:tcPr>
            <w:tcW w:w="33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w:t>
            </w:r>
          </w:p>
        </w:tc>
        <w:tc>
          <w:tcPr>
            <w:tcW w:w="63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Tapez les premières lettres du nom.</w:t>
            </w:r>
          </w:p>
        </w:tc>
      </w:tr>
      <w:tr>
        <w:trPr>
          <w:cantSplit w:val="true"/>
        </w:trPr>
        <w:tc>
          <w:tcPr>
            <w:tcW w:w="33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Cours (Module)</w:t>
            </w:r>
          </w:p>
        </w:tc>
        <w:tc>
          <w:tcPr>
            <w:tcW w:w="63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Cours manqué.</w:t>
            </w:r>
          </w:p>
        </w:tc>
      </w:tr>
      <w:tr>
        <w:trPr>
          <w:cantSplit w:val="true"/>
        </w:trPr>
        <w:tc>
          <w:tcPr>
            <w:tcW w:w="33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Date</w:t>
            </w:r>
          </w:p>
        </w:tc>
        <w:tc>
          <w:tcPr>
            <w:tcW w:w="63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33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Type</w:t>
            </w:r>
          </w:p>
        </w:tc>
        <w:tc>
          <w:tcPr>
            <w:tcW w:w="63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Absence ou Retard.</w:t>
            </w:r>
          </w:p>
        </w:tc>
      </w:tr>
      <w:tr>
        <w:trPr>
          <w:cantSplit w:val="true"/>
        </w:trPr>
        <w:tc>
          <w:tcPr>
            <w:tcW w:w="33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Minutes de retard</w:t>
            </w:r>
          </w:p>
        </w:tc>
        <w:tc>
          <w:tcPr>
            <w:tcW w:w="63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Pour un retard uniquement.</w:t>
            </w:r>
          </w:p>
        </w:tc>
      </w:tr>
      <w:tr>
        <w:trPr>
          <w:cantSplit w:val="true"/>
        </w:trPr>
        <w:tc>
          <w:tcPr>
            <w:tcW w:w="33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Justifié</w:t>
            </w:r>
          </w:p>
        </w:tc>
        <w:tc>
          <w:tcPr>
            <w:tcW w:w="63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Cochez si l’étudiant a fourni un justificatif.</w:t>
            </w:r>
          </w:p>
        </w:tc>
      </w:tr>
    </w:tbl>
    <w:p>
      <w:pPr>
        <w:pStyle w:val="Normal"/>
        <w:numPr>
          <w:ilvl w:val="0"/>
          <w:numId w:val="286"/>
        </w:numPr>
        <w:rPr/>
      </w:pPr>
      <w:bookmarkStart w:id="160" w:name="enregistrer-une-absence-ou-un-retard"/>
      <w:r>
        <w:rPr/>
        <w:t>Enregistrez.</w:t>
      </w:r>
      <w:bookmarkEnd w:id="160"/>
    </w:p>
    <w:p>
      <w:pPr>
        <w:pStyle w:val="Heading3"/>
        <w:rPr/>
      </w:pPr>
      <w:bookmarkStart w:id="161" w:name="suivre-et-notifier"/>
      <w:r>
        <w:rPr/>
        <w:t>Suivre et notifier</w:t>
      </w:r>
    </w:p>
    <w:p>
      <w:pPr>
        <w:pStyle w:val="FirstParagraph"/>
        <w:rPr/>
      </w:pPr>
      <w:r>
        <w:rPr/>
        <w:t>Le tableau affiche : Date, Étudiant, Cours (Module), Type, Retard (min), statut du justificatif, Justificatif, Parent, Actions.</w:t>
      </w:r>
    </w:p>
    <w:p>
      <w:pPr>
        <w:pStyle w:val="Compact"/>
        <w:numPr>
          <w:ilvl w:val="0"/>
          <w:numId w:val="287"/>
        </w:numPr>
        <w:rPr/>
      </w:pPr>
      <w:r>
        <w:rPr/>
        <w:t xml:space="preserve">L’icône </w:t>
      </w:r>
      <w:r>
        <w:rPr>
          <w:b/>
          <w:bCs/>
        </w:rPr>
        <w:t>Notifier le parent via WhatsApp</w:t>
      </w:r>
      <w:r>
        <w:rPr/>
        <w:t xml:space="preserve"> ouvre WhatsApp avec un message pré-rempli adressé au numéro du parent enregistré dans le dossier de l’étudiant. Vérifiez le message puis envoyez-le depuis WhatsApp.</w:t>
      </w:r>
    </w:p>
    <w:p>
      <w:pPr>
        <w:pStyle w:val="Compact"/>
        <w:numPr>
          <w:ilvl w:val="0"/>
          <w:numId w:val="288"/>
        </w:numPr>
        <w:rPr/>
      </w:pPr>
      <w:r>
        <w:rPr/>
        <w:t>Quand un justificatif est apporté, modifiez la ligne et cochez « Justifié ».</w:t>
      </w:r>
    </w:p>
    <w:p>
      <w:pPr>
        <w:pStyle w:val="Compact"/>
        <w:numPr>
          <w:ilvl w:val="0"/>
          <w:numId w:val="289"/>
        </w:numPr>
        <w:rPr/>
      </w:pPr>
      <w:r>
        <w:rPr/>
        <w:t>La corbeille supprime une saisie erronée (avec confirmation).</w:t>
      </w:r>
    </w:p>
    <w:p>
      <w:pPr>
        <w:pStyle w:val="FirstParagraph"/>
        <w:rPr/>
      </w:pPr>
      <w:r>
        <w:rPr/>
        <w:t xml:space="preserve">L’étudiant voit ses absences et retards dans son portail, rubrique </w:t>
      </w:r>
      <w:r>
        <w:rPr>
          <w:b/>
          <w:bCs/>
        </w:rPr>
        <w:t>Assiduité</w:t>
      </w:r>
      <w:r>
        <w:rPr/>
        <w:t>.</w:t>
      </w:r>
      <w:bookmarkEnd w:id="158"/>
      <w:bookmarkEnd w:id="161"/>
    </w:p>
    <w:p>
      <w:pPr>
        <w:pStyle w:val="Heading2"/>
        <w:rPr/>
      </w:pPr>
      <w:bookmarkStart w:id="162" w:name="__RefHeading___Toc15168_1458957718"/>
      <w:bookmarkStart w:id="163" w:name="administration-coordonnateurs-de-filière"/>
      <w:bookmarkEnd w:id="162"/>
      <w:r>
        <w:rPr/>
        <w:t>Administration — Coordonnateurs de filière</w:t>
      </w:r>
    </w:p>
    <w:p>
      <w:pPr>
        <w:pStyle w:val="FirstParagraph"/>
        <w:rPr/>
      </w:pPr>
      <w:r>
        <w:rPr>
          <w:b/>
          <w:bCs/>
        </w:rPr>
        <w:t>Menu :</w:t>
      </w:r>
      <w:r>
        <w:rPr/>
        <w:t xml:space="preserve"> Pédagogie → Coordonnateurs — </w:t>
      </w:r>
      <w:r>
        <w:rPr>
          <w:b/>
          <w:bCs/>
        </w:rPr>
        <w:t>Accès :</w:t>
      </w:r>
      <w:r>
        <w:rPr/>
        <w:t xml:space="preserve"> domaine </w:t>
      </w:r>
      <w:r>
        <w:rPr>
          <w:i/>
          <w:iCs/>
        </w:rPr>
        <w:t>Pédagogie</w:t>
      </w:r>
      <w:r>
        <w:rPr/>
        <w:t>.</w:t>
      </w:r>
    </w:p>
    <w:p>
      <w:pPr>
        <w:pStyle w:val="BodyText"/>
        <w:rPr/>
      </w:pPr>
      <w:r>
        <w:rPr/>
        <w:t xml:space="preserve">Le </w:t>
      </w:r>
      <w:r>
        <w:rPr>
          <w:b/>
          <w:bCs/>
        </w:rPr>
        <w:t>coordonnateur</w:t>
      </w:r>
      <w:r>
        <w:rPr/>
        <w:t xml:space="preserve"> d’une filière est un formateur chargé de </w:t>
      </w:r>
      <w:r>
        <w:rPr>
          <w:b/>
          <w:bCs/>
        </w:rPr>
        <w:t>pointer les heures</w:t>
      </w:r>
      <w:r>
        <w:rPr/>
        <w:t xml:space="preserve"> (arrivée / fin) des enseignants qui interviennent dans cette filière, puis de </w:t>
      </w:r>
      <w:r>
        <w:rPr>
          <w:b/>
          <w:bCs/>
        </w:rPr>
        <w:t>clôturer</w:t>
      </w:r>
      <w:r>
        <w:rPr/>
        <w:t xml:space="preserve"> le récapitulatif mensuel transmis à la finance. Voir le parcours complet dans Heures des vacataires.</w:t>
      </w:r>
    </w:p>
    <w:p>
      <w:pPr>
        <w:pStyle w:val="Heading3"/>
        <w:rPr/>
      </w:pPr>
      <w:bookmarkStart w:id="164" w:name="prérequis"/>
      <w:r>
        <w:rPr/>
        <w:t>Prérequis</w:t>
      </w:r>
    </w:p>
    <w:p>
      <w:pPr>
        <w:pStyle w:val="FirstParagraph"/>
        <w:rPr/>
      </w:pPr>
      <w:r>
        <w:rPr/>
        <w:t xml:space="preserve">Le futur coordonnateur doit être un </w:t>
      </w:r>
      <w:r>
        <w:rPr>
          <w:b/>
          <w:bCs/>
        </w:rPr>
        <w:t>formateur disposant d’un compte portail</w:t>
      </w:r>
      <w:r>
        <w:rPr/>
        <w:t xml:space="preserve"> (</w:t>
      </w:r>
      <w:r>
        <w:rPr>
          <w:b/>
          <w:bCs/>
        </w:rPr>
        <w:t>Enseignants</w:t>
      </w:r>
      <w:r>
        <w:rPr/>
        <w:t xml:space="preserve"> → </w:t>
      </w:r>
      <w:r>
        <w:rPr>
          <w:b/>
          <w:bCs/>
        </w:rPr>
        <w:t>Générer un compte portail</w:t>
      </w:r>
      <w:r>
        <w:rPr/>
        <w:t>).</w:t>
      </w:r>
      <w:bookmarkEnd w:id="164"/>
    </w:p>
    <w:p>
      <w:pPr>
        <w:pStyle w:val="Heading3"/>
        <w:rPr/>
      </w:pPr>
      <w:bookmarkStart w:id="165" w:name="désigner-un-coordonnateur"/>
      <w:r>
        <w:rPr/>
        <w:t>Désigner un coordonnateur</w:t>
      </w:r>
    </w:p>
    <w:p>
      <w:pPr>
        <w:pStyle w:val="Normal"/>
        <w:jc w:val="center"/>
        <w:rPr/>
      </w:pPr>
      <w:r>
        <w:rPr/>
        <w:drawing>
          <wp:inline distT="0" distB="0" distL="0" distR="0">
            <wp:extent cx="5334000" cy="3333750"/>
            <wp:effectExtent l="0" t="0" r="0" b="0"/>
            <wp:docPr id="41" name="Image41" descr="La page « Coordonnateurs de filiè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41" descr="La page « Coordonnateurs de filière »"/>
                    <pic:cNvPicPr>
                      <a:picLocks noChangeAspect="1" noChangeArrowheads="1"/>
                    </pic:cNvPicPr>
                  </pic:nvPicPr>
                  <pic:blipFill>
                    <a:blip r:embed="rId42"/>
                    <a:stretch>
                      <a:fillRect/>
                    </a:stretch>
                  </pic:blipFill>
                  <pic:spPr bwMode="auto">
                    <a:xfrm>
                      <a:off x="0" y="0"/>
                      <a:ext cx="5334000" cy="3333750"/>
                    </a:xfrm>
                    <a:prstGeom prst="rect">
                      <a:avLst/>
                    </a:prstGeom>
                  </pic:spPr>
                </pic:pic>
              </a:graphicData>
            </a:graphic>
          </wp:inline>
        </w:drawing>
      </w:r>
    </w:p>
    <w:p>
      <w:pPr>
        <w:pStyle w:val="ImageCaption"/>
        <w:rPr/>
      </w:pPr>
      <w:r>
        <w:rPr/>
        <w:t>La page « Coordonnateurs de filière »</w:t>
      </w:r>
    </w:p>
    <w:p>
      <w:pPr>
        <w:pStyle w:val="Normal"/>
        <w:jc w:val="center"/>
        <w:rPr/>
      </w:pPr>
      <w:r>
        <w:rPr/>
        <w:drawing>
          <wp:inline distT="0" distB="0" distL="0" distR="0">
            <wp:extent cx="5334000" cy="3333750"/>
            <wp:effectExtent l="0" t="0" r="0" b="0"/>
            <wp:docPr id="42" name="Image42" descr="La fenêtre « Attribuer un coordonnate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2" descr="La fenêtre « Attribuer un coordonnateur »"/>
                    <pic:cNvPicPr>
                      <a:picLocks noChangeAspect="1" noChangeArrowheads="1"/>
                    </pic:cNvPicPr>
                  </pic:nvPicPr>
                  <pic:blipFill>
                    <a:blip r:embed="rId43"/>
                    <a:stretch>
                      <a:fillRect/>
                    </a:stretch>
                  </pic:blipFill>
                  <pic:spPr bwMode="auto">
                    <a:xfrm>
                      <a:off x="0" y="0"/>
                      <a:ext cx="5334000" cy="3333750"/>
                    </a:xfrm>
                    <a:prstGeom prst="rect">
                      <a:avLst/>
                    </a:prstGeom>
                  </pic:spPr>
                </pic:pic>
              </a:graphicData>
            </a:graphic>
          </wp:inline>
        </w:drawing>
      </w:r>
    </w:p>
    <w:p>
      <w:pPr>
        <w:pStyle w:val="ImageCaption"/>
        <w:rPr/>
      </w:pPr>
      <w:r>
        <w:rPr/>
        <w:t>La fenêtre « Attribuer un coordonnateur »</w:t>
      </w:r>
    </w:p>
    <w:p>
      <w:pPr>
        <w:pStyle w:val="Compact"/>
        <w:numPr>
          <w:ilvl w:val="0"/>
          <w:numId w:val="290"/>
        </w:numPr>
        <w:rPr/>
      </w:pPr>
      <w:r>
        <w:rPr/>
        <w:t xml:space="preserve">Cliquez sur </w:t>
      </w:r>
      <w:r>
        <w:rPr>
          <w:b/>
          <w:bCs/>
        </w:rPr>
        <w:t>Attribuer un coordonnateur</w:t>
      </w:r>
      <w:r>
        <w:rPr/>
        <w:t>.</w:t>
      </w:r>
    </w:p>
    <w:p>
      <w:pPr>
        <w:pStyle w:val="Compact"/>
        <w:numPr>
          <w:ilvl w:val="0"/>
          <w:numId w:val="291"/>
        </w:numPr>
        <w:rPr/>
      </w:pPr>
      <w:r>
        <w:rPr/>
        <w:t>Choisissez la « Filière », le « Formateur » et la date « À partir du ».</w:t>
      </w:r>
    </w:p>
    <w:p>
      <w:pPr>
        <w:pStyle w:val="Compact"/>
        <w:numPr>
          <w:ilvl w:val="0"/>
          <w:numId w:val="292"/>
        </w:numPr>
        <w:rPr/>
      </w:pPr>
      <w:r>
        <w:rPr/>
        <w:t>Validez.</w:t>
      </w:r>
    </w:p>
    <w:p>
      <w:pPr>
        <w:pStyle w:val="FirstParagraph"/>
        <w:rPr/>
      </w:pPr>
      <w:r>
        <w:rPr/>
        <w:t xml:space="preserve">Le formateur voit désormais le menu </w:t>
      </w:r>
      <w:r>
        <w:rPr>
          <w:b/>
          <w:bCs/>
        </w:rPr>
        <w:t>Coordination</w:t>
      </w:r>
      <w:r>
        <w:rPr/>
        <w:t xml:space="preserve"> dans son portail (après reconnexion ou rechargement de la page).</w:t>
      </w:r>
    </w:p>
    <w:p>
      <w:pPr>
        <w:pStyle w:val="Compact"/>
        <w:numPr>
          <w:ilvl w:val="0"/>
          <w:numId w:val="293"/>
        </w:numPr>
        <w:rPr/>
      </w:pPr>
      <w:r>
        <w:rPr/>
        <w:t>Un formateur peut coordonner plusieurs filières, et une filière peut avoir plusieurs coordonnateurs (ils voient alors les mêmes pointages). Un même formateur ne peut être désigné qu’une fois pour une filière donnée.</w:t>
      </w:r>
    </w:p>
    <w:p>
      <w:pPr>
        <w:pStyle w:val="Compact"/>
        <w:numPr>
          <w:ilvl w:val="0"/>
          <w:numId w:val="294"/>
        </w:numPr>
        <w:rPr/>
      </w:pPr>
      <w:r>
        <w:rPr/>
        <w:t>Pour un changement de coordonnateur, supprimez l’ancien puis désignez le nouveau.</w:t>
      </w:r>
    </w:p>
    <w:p>
      <w:pPr>
        <w:pStyle w:val="Compact"/>
        <w:numPr>
          <w:ilvl w:val="0"/>
          <w:numId w:val="295"/>
        </w:numPr>
        <w:rPr/>
      </w:pPr>
      <w:bookmarkStart w:id="166" w:name="désigner-un-coordonnateur"/>
      <w:r>
        <w:rPr/>
        <w:t>Le message « Filière(s) sans coordonnateur actif : … » liste les filières à pourvoir.</w:t>
      </w:r>
      <w:bookmarkEnd w:id="166"/>
    </w:p>
    <w:p>
      <w:pPr>
        <w:pStyle w:val="Heading3"/>
        <w:rPr/>
      </w:pPr>
      <w:bookmarkStart w:id="167" w:name="retirer-un-coordonnateur"/>
      <w:r>
        <w:rPr/>
        <w:t>Retirer un coordonnateur</w:t>
      </w:r>
    </w:p>
    <w:p>
      <w:pPr>
        <w:pStyle w:val="FirstParagraph"/>
        <w:rPr/>
      </w:pPr>
      <w:r>
        <w:rPr/>
        <w:t xml:space="preserve">Icône </w:t>
      </w:r>
      <w:r>
        <w:rPr>
          <w:b/>
          <w:bCs/>
        </w:rPr>
        <w:t>Supprimer</w:t>
      </w:r>
      <w:r>
        <w:rPr/>
        <w:t xml:space="preserve"> sur la ligne. Les pointages déjà saisis sont conservés.</w:t>
      </w:r>
      <w:bookmarkEnd w:id="163"/>
      <w:bookmarkEnd w:id="167"/>
    </w:p>
    <w:p>
      <w:pPr>
        <w:pStyle w:val="Heading2"/>
        <w:rPr/>
      </w:pPr>
      <w:bookmarkStart w:id="168" w:name="__RefHeading___Toc15170_1458957718"/>
      <w:bookmarkStart w:id="169" w:name="Xf2c7ec78ddc5135ac94ec1219d0cc9bd1d64400"/>
      <w:bookmarkEnd w:id="168"/>
      <w:r>
        <w:rPr/>
        <w:t>Administration — Préinscriptions (traitement par l’administration)</w:t>
      </w:r>
    </w:p>
    <w:p>
      <w:pPr>
        <w:pStyle w:val="FirstParagraph"/>
        <w:rPr/>
      </w:pPr>
      <w:r>
        <w:rPr>
          <w:b/>
          <w:bCs/>
        </w:rPr>
        <w:t>Menu :</w:t>
      </w:r>
      <w:r>
        <w:rPr/>
        <w:t xml:space="preserve"> Finances → Préinscriptions — </w:t>
      </w:r>
      <w:r>
        <w:rPr>
          <w:b/>
          <w:bCs/>
        </w:rPr>
        <w:t>Accès :</w:t>
      </w:r>
      <w:r>
        <w:rPr/>
        <w:t xml:space="preserve"> domaine </w:t>
      </w:r>
      <w:r>
        <w:rPr>
          <w:i/>
          <w:iCs/>
        </w:rPr>
        <w:t>Finances</w:t>
      </w:r>
      <w:r>
        <w:rPr/>
        <w:t>.</w:t>
      </w:r>
    </w:p>
    <w:p>
      <w:pPr>
        <w:pStyle w:val="BodyText"/>
        <w:rPr/>
      </w:pPr>
      <w:r>
        <w:rPr/>
        <w:t xml:space="preserve">La page « Gestion des pré-inscriptions » liste les demandes envoyées par les candidats via le formulaire en ligne, </w:t>
      </w:r>
      <w:r>
        <w:rPr>
          <w:b/>
          <w:bCs/>
        </w:rPr>
        <w:t>en attente</w:t>
      </w:r>
      <w:r>
        <w:rPr/>
        <w:t xml:space="preserve"> de décision : Candidat, Téléphone, Email, Formation, Niveau, Date.</w:t>
      </w:r>
    </w:p>
    <w:p>
      <w:pPr>
        <w:pStyle w:val="Heading3"/>
        <w:rPr/>
      </w:pPr>
      <w:bookmarkStart w:id="170" w:name="approuver-une-préinscription"/>
      <w:bookmarkEnd w:id="170"/>
      <w:r>
        <w:rPr/>
        <w:t>Approuver une préinscription</w:t>
      </w:r>
    </w:p>
    <w:p>
      <w:pPr>
        <w:pStyle w:val="Normal"/>
        <w:jc w:val="center"/>
        <w:rPr/>
      </w:pPr>
      <w:r>
        <w:rPr/>
        <w:drawing>
          <wp:inline distT="0" distB="0" distL="0" distR="0">
            <wp:extent cx="5334000" cy="3333750"/>
            <wp:effectExtent l="0" t="0" r="0" b="0"/>
            <wp:docPr id="43" name="Image43" descr="La liste des préinscriptions en att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3" descr="La liste des préinscriptions en attente"/>
                    <pic:cNvPicPr>
                      <a:picLocks noChangeAspect="1" noChangeArrowheads="1"/>
                    </pic:cNvPicPr>
                  </pic:nvPicPr>
                  <pic:blipFill>
                    <a:blip r:embed="rId44"/>
                    <a:stretch>
                      <a:fillRect/>
                    </a:stretch>
                  </pic:blipFill>
                  <pic:spPr bwMode="auto">
                    <a:xfrm>
                      <a:off x="0" y="0"/>
                      <a:ext cx="5334000" cy="3333750"/>
                    </a:xfrm>
                    <a:prstGeom prst="rect">
                      <a:avLst/>
                    </a:prstGeom>
                  </pic:spPr>
                </pic:pic>
              </a:graphicData>
            </a:graphic>
          </wp:inline>
        </w:drawing>
      </w:r>
    </w:p>
    <w:p>
      <w:pPr>
        <w:pStyle w:val="ImageCaption"/>
        <w:rPr/>
      </w:pPr>
      <w:r>
        <w:rPr/>
        <w:t>La liste des préinscriptions en attente</w:t>
      </w:r>
    </w:p>
    <w:p>
      <w:pPr>
        <w:pStyle w:val="Normal"/>
        <w:jc w:val="center"/>
        <w:rPr/>
      </w:pPr>
      <w:r>
        <w:rPr/>
        <w:drawing>
          <wp:inline distT="0" distB="0" distL="0" distR="0">
            <wp:extent cx="5334000" cy="3333750"/>
            <wp:effectExtent l="0" t="0" r="0" b="0"/>
            <wp:docPr id="44" name="Image44" descr="La fenêtre d’approbation : dossier du candid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4" descr="La fenêtre d’approbation : dossier du candidat"/>
                    <pic:cNvPicPr>
                      <a:picLocks noChangeAspect="1" noChangeArrowheads="1"/>
                    </pic:cNvPicPr>
                  </pic:nvPicPr>
                  <pic:blipFill>
                    <a:blip r:embed="rId45"/>
                    <a:stretch>
                      <a:fillRect/>
                    </a:stretch>
                  </pic:blipFill>
                  <pic:spPr bwMode="auto">
                    <a:xfrm>
                      <a:off x="0" y="0"/>
                      <a:ext cx="5334000" cy="3333750"/>
                    </a:xfrm>
                    <a:prstGeom prst="rect">
                      <a:avLst/>
                    </a:prstGeom>
                  </pic:spPr>
                </pic:pic>
              </a:graphicData>
            </a:graphic>
          </wp:inline>
        </w:drawing>
      </w:r>
    </w:p>
    <w:p>
      <w:pPr>
        <w:pStyle w:val="ImageCaption"/>
        <w:rPr/>
      </w:pPr>
      <w:r>
        <w:rPr/>
        <w:t>La fenêtre d’approbation : dossier du candidat</w:t>
      </w:r>
    </w:p>
    <w:p>
      <w:pPr>
        <w:pStyle w:val="Normal"/>
        <w:jc w:val="center"/>
        <w:rPr/>
      </w:pPr>
      <w:r>
        <w:rPr/>
        <w:drawing>
          <wp:inline distT="0" distB="0" distL="0" distR="0">
            <wp:extent cx="5334000" cy="3333750"/>
            <wp:effectExtent l="0" t="0" r="0" b="0"/>
            <wp:docPr id="45" name="Image45" descr="Bas de la fenêtre : réduction, paiements versés et reç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5" descr="Bas de la fenêtre : réduction, paiements versés et reçu"/>
                    <pic:cNvPicPr>
                      <a:picLocks noChangeAspect="1" noChangeArrowheads="1"/>
                    </pic:cNvPicPr>
                  </pic:nvPicPr>
                  <pic:blipFill>
                    <a:blip r:embed="rId46"/>
                    <a:stretch>
                      <a:fillRect/>
                    </a:stretch>
                  </pic:blipFill>
                  <pic:spPr bwMode="auto">
                    <a:xfrm>
                      <a:off x="0" y="0"/>
                      <a:ext cx="5334000" cy="3333750"/>
                    </a:xfrm>
                    <a:prstGeom prst="rect">
                      <a:avLst/>
                    </a:prstGeom>
                  </pic:spPr>
                </pic:pic>
              </a:graphicData>
            </a:graphic>
          </wp:inline>
        </w:drawing>
      </w:r>
    </w:p>
    <w:p>
      <w:pPr>
        <w:pStyle w:val="ImageCaption"/>
        <w:rPr/>
      </w:pPr>
      <w:r>
        <w:rPr/>
        <w:t>Bas de la fenêtre : réduction, paiements versés et reçu</w:t>
      </w:r>
    </w:p>
    <w:p>
      <w:pPr>
        <w:pStyle w:val="Normal"/>
        <w:numPr>
          <w:ilvl w:val="0"/>
          <w:numId w:val="296"/>
        </w:numPr>
        <w:rPr/>
      </w:pPr>
      <w:r>
        <w:rPr/>
        <w:t xml:space="preserve">Sur la ligne du candidat, cliquez sur </w:t>
      </w:r>
      <w:r>
        <w:rPr>
          <w:b/>
          <w:bCs/>
        </w:rPr>
        <w:t>Approuver</w:t>
      </w:r>
      <w:r>
        <w:rPr/>
        <w:t>. La fenêtre « Approuver et valider la pré-inscription » s’ouvre.</w:t>
      </w:r>
    </w:p>
    <w:p>
      <w:pPr>
        <w:pStyle w:val="Normal"/>
        <w:numPr>
          <w:ilvl w:val="0"/>
          <w:numId w:val="297"/>
        </w:numPr>
        <w:rPr/>
      </w:pPr>
      <w:r>
        <w:rPr/>
        <w:t xml:space="preserve">Vérifiez les informations et les documents. Vous pouvez ajouter un document manquant (« Type de document » puis </w:t>
      </w:r>
      <w:r>
        <w:rPr>
          <w:b/>
          <w:bCs/>
        </w:rPr>
        <w:t>Ajouter</w:t>
      </w:r>
      <w:r>
        <w:rPr/>
        <w:t>).</w:t>
      </w:r>
    </w:p>
    <w:p>
      <w:pPr>
        <w:pStyle w:val="Normal"/>
        <w:numPr>
          <w:ilvl w:val="0"/>
          <w:numId w:val="298"/>
        </w:numPr>
        <w:rPr/>
      </w:pPr>
      <w:r>
        <w:rPr/>
        <w:t xml:space="preserve">Choisissez le </w:t>
      </w:r>
      <w:r>
        <w:rPr>
          <w:b/>
          <w:bCs/>
        </w:rPr>
        <w:t>type de réduction</w:t>
      </w:r>
      <w:r>
        <w:rPr/>
        <w:t xml:space="preserve">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4892"/>
        <w:gridCol w:w="4745"/>
      </w:tblGrid>
      <w:tr>
        <w:trPr>
          <w:tblHeader w:val="true"/>
          <w:cantSplit w:val="true"/>
        </w:trPr>
        <w:tc>
          <w:tcPr>
            <w:tcW w:w="489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Option</w:t>
            </w:r>
          </w:p>
        </w:tc>
        <w:tc>
          <w:tcPr>
            <w:tcW w:w="474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Effet</w:t>
            </w:r>
          </w:p>
        </w:tc>
      </w:tr>
      <w:tr>
        <w:trPr>
          <w:cantSplit w:val="true"/>
        </w:trPr>
        <w:tc>
          <w:tcPr>
            <w:tcW w:w="48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Aucune réduction</w:t>
            </w:r>
            <w:r>
              <w:rPr>
                <w:rFonts w:eastAsia="Calibri" w:cs="Calibri"/>
                <w:kern w:val="0"/>
                <w:sz w:val="19"/>
                <w:szCs w:val="19"/>
                <w:lang w:val="fr-FR" w:eastAsia="en-US" w:bidi="ar-SA"/>
              </w:rPr>
              <w:t xml:space="preserve"> (Tarif standard de l’échéancier)</w:t>
            </w:r>
          </w:p>
        </w:tc>
        <w:tc>
          <w:tcPr>
            <w:tcW w:w="474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L’étudiant suit l’échéancier de sa classe.</w:t>
            </w:r>
          </w:p>
        </w:tc>
      </w:tr>
      <w:tr>
        <w:trPr>
          <w:cantSplit w:val="true"/>
        </w:trPr>
        <w:tc>
          <w:tcPr>
            <w:tcW w:w="48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Réduction 10% sur les frais de formation</w:t>
            </w:r>
            <w:r>
              <w:rPr>
                <w:rFonts w:eastAsia="Calibri" w:cs="Calibri"/>
                <w:kern w:val="0"/>
                <w:sz w:val="19"/>
                <w:szCs w:val="19"/>
                <w:lang w:val="fr-FR" w:eastAsia="en-US" w:bidi="ar-SA"/>
              </w:rPr>
              <w:t xml:space="preserve"> (Déduite à partir de la dernière tranche en remontant)</w:t>
            </w:r>
          </w:p>
        </w:tc>
        <w:tc>
          <w:tcPr>
            <w:tcW w:w="474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10 % de la scolarité est déduit, </w:t>
            </w:r>
            <w:r>
              <w:rPr>
                <w:rFonts w:eastAsia="Calibri" w:cs="Calibri"/>
                <w:b/>
                <w:bCs/>
                <w:kern w:val="0"/>
                <w:sz w:val="19"/>
                <w:szCs w:val="19"/>
                <w:lang w:val="fr-FR" w:eastAsia="en-US" w:bidi="ar-SA"/>
              </w:rPr>
              <w:t>à partir de la dernière tranche</w:t>
            </w:r>
            <w:r>
              <w:rPr>
                <w:rFonts w:eastAsia="Calibri" w:cs="Calibri"/>
                <w:kern w:val="0"/>
                <w:sz w:val="19"/>
                <w:szCs w:val="19"/>
                <w:lang w:val="fr-FR" w:eastAsia="en-US" w:bidi="ar-SA"/>
              </w:rPr>
              <w:t>. Exemple : 4 × 100 000 → 100 000, 100 000, 100 000, 60 000.</w:t>
            </w:r>
          </w:p>
        </w:tc>
      </w:tr>
      <w:tr>
        <w:trPr>
          <w:cantSplit w:val="true"/>
        </w:trPr>
        <w:tc>
          <w:tcPr>
            <w:tcW w:w="48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Réduction libre sur les frais de formation</w:t>
            </w:r>
            <w:r>
              <w:rPr>
                <w:rFonts w:eastAsia="Calibri" w:cs="Calibri"/>
                <w:kern w:val="0"/>
                <w:sz w:val="19"/>
                <w:szCs w:val="19"/>
                <w:lang w:val="fr-FR" w:eastAsia="en-US" w:bidi="ar-SA"/>
              </w:rPr>
              <w:t xml:space="preserve"> (Déduite à partir de la dernière tranche)</w:t>
            </w:r>
          </w:p>
        </w:tc>
        <w:tc>
          <w:tcPr>
            <w:tcW w:w="474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Tapez le « Montant de la réduction ».</w:t>
            </w:r>
          </w:p>
        </w:tc>
      </w:tr>
      <w:tr>
        <w:trPr>
          <w:cantSplit w:val="true"/>
        </w:trPr>
        <w:tc>
          <w:tcPr>
            <w:tcW w:w="48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Réduction libre sur les frais d’inscription</w:t>
            </w:r>
          </w:p>
        </w:tc>
        <w:tc>
          <w:tcPr>
            <w:tcW w:w="474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Tapez le « Montant de la réduction ».</w:t>
            </w:r>
          </w:p>
        </w:tc>
      </w:tr>
      <w:tr>
        <w:trPr>
          <w:cantSplit w:val="true"/>
        </w:trPr>
        <w:tc>
          <w:tcPr>
            <w:tcW w:w="48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Bourse d’études Scolarité</w:t>
            </w:r>
            <w:r>
              <w:rPr>
                <w:rFonts w:eastAsia="Calibri" w:cs="Calibri"/>
                <w:kern w:val="0"/>
                <w:sz w:val="19"/>
                <w:szCs w:val="19"/>
                <w:lang w:val="fr-FR" w:eastAsia="en-US" w:bidi="ar-SA"/>
              </w:rPr>
              <w:t xml:space="preserve"> (Nécessite un code de bourse valide)</w:t>
            </w:r>
          </w:p>
        </w:tc>
        <w:tc>
          <w:tcPr>
            <w:tcW w:w="474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Tapez le « Code de la bourse ». Le message « Bourse valide ! Montant : … » confirme le code.</w:t>
            </w:r>
          </w:p>
        </w:tc>
      </w:tr>
    </w:tbl>
    <w:p>
      <w:pPr>
        <w:pStyle w:val="Normal"/>
        <w:numPr>
          <w:ilvl w:val="0"/>
          <w:numId w:val="299"/>
        </w:numPr>
        <w:rPr/>
      </w:pPr>
      <w:r>
        <w:rPr/>
        <w:t>Si le candidat paie au moment de l’inscription, indiquez les « Frais d’inscription versés » et l’« Avance frais de formation ». Ces paiements sont enregistrés immédiatement.</w:t>
      </w:r>
    </w:p>
    <w:p>
      <w:pPr>
        <w:pStyle w:val="Normal"/>
        <w:numPr>
          <w:ilvl w:val="0"/>
          <w:numId w:val="300"/>
        </w:numPr>
        <w:rPr/>
      </w:pPr>
      <w:r>
        <w:rPr/>
        <w:t>Validez.</w:t>
      </w:r>
    </w:p>
    <w:p>
      <w:pPr>
        <w:pStyle w:val="FirstParagraph"/>
        <w:rPr/>
      </w:pPr>
      <w:r>
        <w:rPr/>
        <w:t>En une seule opération, SmartCampus :</w:t>
      </w:r>
    </w:p>
    <w:p>
      <w:pPr>
        <w:pStyle w:val="Compact"/>
        <w:numPr>
          <w:ilvl w:val="0"/>
          <w:numId w:val="301"/>
        </w:numPr>
        <w:rPr/>
      </w:pPr>
      <w:r>
        <w:rPr/>
        <w:t>crée l’</w:t>
      </w:r>
      <w:r>
        <w:rPr>
          <w:b/>
          <w:bCs/>
        </w:rPr>
        <w:t>étudiant</w:t>
      </w:r>
      <w:r>
        <w:rPr/>
        <w:t xml:space="preserve"> avec son </w:t>
      </w:r>
      <w:r>
        <w:rPr>
          <w:b/>
          <w:bCs/>
        </w:rPr>
        <w:t>matricule</w:t>
      </w:r>
      <w:r>
        <w:rPr/>
        <w:t xml:space="preserve"> (si un étudiant existe déjà avec le même email, son dossier est </w:t>
      </w:r>
      <w:r>
        <w:rPr>
          <w:b/>
          <w:bCs/>
        </w:rPr>
        <w:t>mis à jour</w:t>
      </w:r>
      <w:r>
        <w:rPr/>
        <w:t xml:space="preserve"> au lieu d’être dupliqué) ;</w:t>
      </w:r>
    </w:p>
    <w:p>
      <w:pPr>
        <w:pStyle w:val="Compact"/>
        <w:numPr>
          <w:ilvl w:val="0"/>
          <w:numId w:val="302"/>
        </w:numPr>
        <w:rPr/>
      </w:pPr>
      <w:r>
        <w:rPr/>
        <w:t xml:space="preserve">crée son </w:t>
      </w:r>
      <w:r>
        <w:rPr>
          <w:b/>
          <w:bCs/>
        </w:rPr>
        <w:t>compte portail étudiant</w:t>
      </w:r>
      <w:r>
        <w:rPr/>
        <w:t xml:space="preserve"> (identifiants visibles dans </w:t>
      </w:r>
      <w:r>
        <w:rPr>
          <w:b/>
          <w:bCs/>
        </w:rPr>
        <w:t>Étudiants</w:t>
      </w:r>
      <w:r>
        <w:rPr/>
        <w:t xml:space="preserve"> → </w:t>
      </w:r>
      <w:r>
        <w:rPr>
          <w:i/>
          <w:iCs/>
        </w:rPr>
        <w:t>Voir détails</w:t>
      </w:r>
      <w:r>
        <w:rPr/>
        <w:t xml:space="preserve"> → </w:t>
      </w:r>
      <w:r>
        <w:rPr>
          <w:i/>
          <w:iCs/>
        </w:rPr>
        <w:t>Accès Portail Étudiant</w:t>
      </w:r>
      <w:r>
        <w:rPr/>
        <w:t>) ;</w:t>
      </w:r>
    </w:p>
    <w:p>
      <w:pPr>
        <w:pStyle w:val="Compact"/>
        <w:numPr>
          <w:ilvl w:val="0"/>
          <w:numId w:val="303"/>
        </w:numPr>
        <w:rPr/>
      </w:pPr>
      <w:r>
        <w:rPr/>
        <w:t>l’</w:t>
      </w:r>
      <w:r>
        <w:rPr>
          <w:b/>
          <w:bCs/>
        </w:rPr>
        <w:t>inscrit</w:t>
      </w:r>
      <w:r>
        <w:rPr/>
        <w:t xml:space="preserve"> dans la classe demandée pour l’année active ;</w:t>
      </w:r>
    </w:p>
    <w:p>
      <w:pPr>
        <w:pStyle w:val="Compact"/>
        <w:numPr>
          <w:ilvl w:val="0"/>
          <w:numId w:val="304"/>
        </w:numPr>
        <w:rPr/>
      </w:pPr>
      <w:r>
        <w:rPr/>
        <w:t xml:space="preserve">crée son </w:t>
      </w:r>
      <w:r>
        <w:rPr>
          <w:b/>
          <w:bCs/>
        </w:rPr>
        <w:t>échéancier</w:t>
      </w:r>
      <w:r>
        <w:rPr/>
        <w:t xml:space="preserve"> (avec la réduction éventuelle), ses </w:t>
      </w:r>
      <w:r>
        <w:rPr>
          <w:b/>
          <w:bCs/>
        </w:rPr>
        <w:t>paiements</w:t>
      </w:r>
      <w:r>
        <w:rPr/>
        <w:t xml:space="preserve"> initiaux et marque la bourse comme utilisée ;</w:t>
      </w:r>
    </w:p>
    <w:p>
      <w:pPr>
        <w:pStyle w:val="Compact"/>
        <w:numPr>
          <w:ilvl w:val="0"/>
          <w:numId w:val="305"/>
        </w:numPr>
        <w:rPr/>
      </w:pPr>
      <w:r>
        <w:rPr/>
        <w:t>retire la demande de la liste des préinscriptions.</w:t>
      </w:r>
    </w:p>
    <w:p>
      <w:pPr>
        <w:pStyle w:val="EncadreAttention"/>
        <w:rPr/>
      </w:pPr>
      <w:r>
        <w:rPr>
          <w:b/>
          <w:bCs/>
        </w:rPr>
        <w:t>Messages de refus</w:t>
      </w:r>
    </w:p>
    <w:p>
      <w:pPr>
        <w:pStyle w:val="Compact"/>
        <w:numPr>
          <w:ilvl w:val="0"/>
          <w:numId w:val="306"/>
        </w:numPr>
        <w:rPr/>
      </w:pPr>
      <w:r>
        <w:rPr>
          <w:i/>
          <w:iCs/>
        </w:rPr>
        <w:t>La bourse avec le code ‘…’ est introuvable</w:t>
      </w:r>
      <w:r>
        <w:rPr/>
        <w:t xml:space="preserve"> ou </w:t>
      </w:r>
      <w:r>
        <w:rPr>
          <w:i/>
          <w:iCs/>
        </w:rPr>
        <w:t>La bourse ‘…’ a déjà été utilisée</w:t>
      </w:r>
      <w:r>
        <w:rPr/>
        <w:t xml:space="preserve"> : vérifiez le code dans </w:t>
      </w:r>
      <w:r>
        <w:rPr>
          <w:b/>
          <w:bCs/>
        </w:rPr>
        <w:t>Scolarité</w:t>
      </w:r>
      <w:r>
        <w:rPr/>
        <w:t xml:space="preserve"> → </w:t>
      </w:r>
      <w:r>
        <w:rPr>
          <w:i/>
          <w:iCs/>
        </w:rPr>
        <w:t>Gestion des Bourses</w:t>
      </w:r>
      <w:r>
        <w:rPr/>
        <w:t xml:space="preserve"> (les majuscules/minuscules ne comptent pas).</w:t>
      </w:r>
    </w:p>
    <w:p>
      <w:pPr>
        <w:pStyle w:val="Normal"/>
        <w:spacing w:before="0" w:after="60"/>
        <w:rPr>
          <w:sz w:val="8"/>
        </w:rPr>
      </w:pPr>
      <w:r>
        <w:rPr>
          <w:sz w:val="8"/>
        </w:rPr>
      </w:r>
      <w:bookmarkStart w:id="171" w:name="approuver-une-préinscription"/>
      <w:bookmarkStart w:id="172" w:name="approuver-une-préinscription"/>
      <w:bookmarkEnd w:id="172"/>
    </w:p>
    <w:p>
      <w:pPr>
        <w:pStyle w:val="Heading3"/>
        <w:rPr/>
      </w:pPr>
      <w:bookmarkStart w:id="173" w:name="refuser-une-préinscription"/>
      <w:r>
        <w:rPr/>
        <w:t>Refuser une préinscription</w:t>
      </w:r>
    </w:p>
    <w:p>
      <w:pPr>
        <w:pStyle w:val="FirstParagraph"/>
        <w:rPr/>
      </w:pPr>
      <w:r>
        <w:rPr/>
        <w:t xml:space="preserve">Cliquez sur </w:t>
      </w:r>
      <w:r>
        <w:rPr>
          <w:b/>
          <w:bCs/>
        </w:rPr>
        <w:t>Désapprouver</w:t>
      </w:r>
      <w:r>
        <w:rPr/>
        <w:t xml:space="preserve"> puis confirmez. La demande est </w:t>
      </w:r>
      <w:r>
        <w:rPr>
          <w:b/>
          <w:bCs/>
        </w:rPr>
        <w:t>supprimée</w:t>
      </w:r>
      <w:r>
        <w:rPr/>
        <w:t xml:space="preserve"> ; aucun étudiant n’est créé. Pensez à prévenir le candidat.</w:t>
      </w:r>
      <w:bookmarkEnd w:id="169"/>
      <w:bookmarkEnd w:id="173"/>
    </w:p>
    <w:p>
      <w:pPr>
        <w:pStyle w:val="Heading2"/>
        <w:rPr/>
      </w:pPr>
      <w:bookmarkStart w:id="174" w:name="__RefHeading___Toc15172_1458957718"/>
      <w:bookmarkStart w:id="175" w:name="administration-scolarité-et-paiements"/>
      <w:bookmarkEnd w:id="174"/>
      <w:r>
        <w:rPr/>
        <w:t>Administration — Scolarité et paiements</w:t>
      </w:r>
    </w:p>
    <w:p>
      <w:pPr>
        <w:pStyle w:val="FirstParagraph"/>
        <w:rPr/>
      </w:pPr>
      <w:r>
        <w:rPr>
          <w:b/>
          <w:bCs/>
        </w:rPr>
        <w:t>Menu :</w:t>
      </w:r>
      <w:r>
        <w:rPr/>
        <w:t xml:space="preserve"> Finances → Scolarité — </w:t>
      </w:r>
      <w:r>
        <w:rPr>
          <w:b/>
          <w:bCs/>
        </w:rPr>
        <w:t>Accès :</w:t>
      </w:r>
      <w:r>
        <w:rPr/>
        <w:t xml:space="preserve"> domaine </w:t>
      </w:r>
      <w:r>
        <w:rPr>
          <w:i/>
          <w:iCs/>
        </w:rPr>
        <w:t>Finances</w:t>
      </w:r>
      <w:r>
        <w:rPr/>
        <w:t xml:space="preserve"> (Écriture pour enregistrer des paiements).</w:t>
      </w:r>
    </w:p>
    <w:p>
      <w:pPr>
        <w:pStyle w:val="BodyText"/>
        <w:rPr/>
      </w:pPr>
      <w:r>
        <w:rPr/>
        <w:t xml:space="preserve">La page « Scolarité » gère tout ce que les étudiants doivent payer et ont payé. Elle comporte quatre onglets : </w:t>
      </w:r>
      <w:r>
        <w:rPr>
          <w:i/>
          <w:iCs/>
        </w:rPr>
        <w:t>Statistiques</w:t>
      </w:r>
      <w:r>
        <w:rPr/>
        <w:t xml:space="preserve">, </w:t>
      </w:r>
      <w:r>
        <w:rPr>
          <w:i/>
          <w:iCs/>
        </w:rPr>
        <w:t>Suivi des paiements</w:t>
      </w:r>
      <w:r>
        <w:rPr/>
        <w:t xml:space="preserve">, </w:t>
      </w:r>
      <w:r>
        <w:rPr>
          <w:i/>
          <w:iCs/>
        </w:rPr>
        <w:t>Configuration des Frais</w:t>
      </w:r>
      <w:r>
        <w:rPr/>
        <w:t xml:space="preserve">, </w:t>
      </w:r>
      <w:r>
        <w:rPr>
          <w:i/>
          <w:iCs/>
        </w:rPr>
        <w:t>Gestion des Bourses</w:t>
      </w:r>
      <w:r>
        <w:rPr/>
        <w:t>.</w:t>
      </w:r>
    </w:p>
    <w:p>
      <w:pPr>
        <w:pStyle w:val="Heading3"/>
        <w:rPr/>
      </w:pPr>
      <w:bookmarkStart w:id="176" w:name="comprendre-les-montants"/>
      <w:bookmarkEnd w:id="176"/>
      <w:r>
        <w:rPr/>
        <w:t>Comprendre les montants</w:t>
      </w:r>
    </w:p>
    <w:p>
      <w:pPr>
        <w:pStyle w:val="Normal"/>
        <w:jc w:val="center"/>
        <w:rPr/>
      </w:pPr>
      <w:r>
        <w:rPr/>
        <w:drawing>
          <wp:inline distT="0" distB="0" distL="0" distR="0">
            <wp:extent cx="5334000" cy="3333750"/>
            <wp:effectExtent l="0" t="0" r="0" b="0"/>
            <wp:docPr id="46" name="Image46" descr="L’onglet Statistiques de la scola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6" descr="L’onglet Statistiques de la scolarité"/>
                    <pic:cNvPicPr>
                      <a:picLocks noChangeAspect="1" noChangeArrowheads="1"/>
                    </pic:cNvPicPr>
                  </pic:nvPicPr>
                  <pic:blipFill>
                    <a:blip r:embed="rId47"/>
                    <a:stretch>
                      <a:fillRect/>
                    </a:stretch>
                  </pic:blipFill>
                  <pic:spPr bwMode="auto">
                    <a:xfrm>
                      <a:off x="0" y="0"/>
                      <a:ext cx="5334000" cy="3333750"/>
                    </a:xfrm>
                    <a:prstGeom prst="rect">
                      <a:avLst/>
                    </a:prstGeom>
                  </pic:spPr>
                </pic:pic>
              </a:graphicData>
            </a:graphic>
          </wp:inline>
        </w:drawing>
      </w:r>
    </w:p>
    <w:p>
      <w:pPr>
        <w:pStyle w:val="ImageCaption"/>
        <w:rPr/>
      </w:pPr>
      <w:r>
        <w:rPr/>
        <w:t>L’onglet Statistiques de la scolarité</w:t>
      </w:r>
    </w:p>
    <w:p>
      <w:pPr>
        <w:pStyle w:val="BodyText"/>
        <w:rPr/>
      </w:pPr>
      <w:r>
        <w:rPr/>
        <w:t>Pour chaque étudiant, la plateforme distingue deux catégories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400"/>
        <w:gridCol w:w="3039"/>
        <w:gridCol w:w="4199"/>
      </w:tblGrid>
      <w:tr>
        <w:trPr>
          <w:tblHeader w:val="true"/>
          <w:cantSplit w:val="true"/>
        </w:trPr>
        <w:tc>
          <w:tcPr>
            <w:tcW w:w="240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Catégorie</w:t>
            </w:r>
          </w:p>
        </w:tc>
        <w:tc>
          <w:tcPr>
            <w:tcW w:w="303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Contenu</w:t>
            </w:r>
          </w:p>
        </w:tc>
        <w:tc>
          <w:tcPr>
            <w:tcW w:w="419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Comment la plateforme la reconnaît</w:t>
            </w:r>
          </w:p>
        </w:tc>
      </w:tr>
      <w:tr>
        <w:trPr>
          <w:cantSplit w:val="true"/>
        </w:trPr>
        <w:tc>
          <w:tcPr>
            <w:tcW w:w="24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Inscription</w:t>
            </w:r>
          </w:p>
        </w:tc>
        <w:tc>
          <w:tcPr>
            <w:tcW w:w="30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Frais d’inscription</w:t>
            </w:r>
          </w:p>
        </w:tc>
        <w:tc>
          <w:tcPr>
            <w:tcW w:w="419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Tout frais dont le libellé contient le mot « inscription »</w:t>
            </w:r>
          </w:p>
        </w:tc>
      </w:tr>
      <w:tr>
        <w:trPr>
          <w:cantSplit w:val="true"/>
        </w:trPr>
        <w:tc>
          <w:tcPr>
            <w:tcW w:w="24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Formation</w:t>
            </w:r>
            <w:r>
              <w:rPr>
                <w:rFonts w:eastAsia="Calibri" w:cs="Calibri"/>
                <w:kern w:val="0"/>
                <w:sz w:val="19"/>
                <w:szCs w:val="19"/>
                <w:lang w:val="fr-FR" w:eastAsia="en-US" w:bidi="ar-SA"/>
              </w:rPr>
              <w:t xml:space="preserve"> (scolarité)</w:t>
            </w:r>
          </w:p>
        </w:tc>
        <w:tc>
          <w:tcPr>
            <w:tcW w:w="30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Toutes les tranches de scolarité</w:t>
            </w:r>
          </w:p>
        </w:tc>
        <w:tc>
          <w:tcPr>
            <w:tcW w:w="419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Tous les autres frais de la classe</w:t>
            </w:r>
          </w:p>
        </w:tc>
      </w:tr>
    </w:tbl>
    <w:p>
      <w:pPr>
        <w:pStyle w:val="BodyText"/>
        <w:rPr/>
      </w:pPr>
      <w:r>
        <w:rPr/>
        <w:t>Ensuite :</w:t>
      </w:r>
    </w:p>
    <w:p>
      <w:pPr>
        <w:pStyle w:val="SourceCode"/>
        <w:rPr/>
      </w:pPr>
      <w:r>
        <w:rPr>
          <w:rStyle w:val="VerbatimChar"/>
        </w:rPr>
        <w:t>Montant dû       = frais de la classe − réductions / bourses de l'étudiant</w:t>
      </w:r>
      <w:r>
        <w:rPr/>
        <w:br/>
      </w:r>
      <w:r>
        <w:rPr>
          <w:rStyle w:val="VerbatimChar"/>
        </w:rPr>
        <w:t>Solde restant    = montant dû − total des paiements enregistrés</w:t>
      </w:r>
    </w:p>
    <w:p>
      <w:pPr>
        <w:pStyle w:val="FirstParagraph"/>
        <w:rPr/>
      </w:pPr>
      <w:r>
        <w:rPr/>
        <w:t>Les mêmes chiffres apparaissent partout : suivi des paiements, fiche de l’étudiant, tableau de bord et portail étudiant (« Ma Scolarité »).</w:t>
      </w:r>
    </w:p>
    <w:p>
      <w:pPr>
        <w:pStyle w:val="EncadreAttention"/>
        <w:rPr/>
      </w:pPr>
      <w:r>
        <w:rPr>
          <w:b/>
          <w:bCs/>
        </w:rPr>
        <w:t>Nommez correctement les frais</w:t>
      </w:r>
    </w:p>
    <w:p>
      <w:pPr>
        <w:pStyle w:val="EncadreAttention"/>
        <w:rPr/>
      </w:pPr>
      <w:r>
        <w:rPr/>
        <w:t xml:space="preserve">Un frais d’inscription doit contenir le mot </w:t>
      </w:r>
      <w:r>
        <w:rPr>
          <w:b/>
          <w:bCs/>
        </w:rPr>
        <w:t>inscription</w:t>
      </w:r>
      <w:r>
        <w:rPr/>
        <w:t xml:space="preserve"> dans son libellé (ex. « Frais d’inscription »). Un libellé comme « Dossier » serait compté comme de la scolarité.</w:t>
      </w:r>
    </w:p>
    <w:p>
      <w:pPr>
        <w:pStyle w:val="Normal"/>
        <w:spacing w:before="0" w:after="60"/>
        <w:rPr>
          <w:sz w:val="8"/>
        </w:rPr>
      </w:pPr>
      <w:r>
        <w:rPr>
          <w:sz w:val="8"/>
        </w:rPr>
      </w:r>
      <w:bookmarkStart w:id="177" w:name="comprendre-les-montants"/>
      <w:bookmarkStart w:id="178" w:name="comprendre-les-montants"/>
      <w:bookmarkEnd w:id="178"/>
    </w:p>
    <w:p>
      <w:pPr>
        <w:pStyle w:val="Heading3"/>
        <w:rPr/>
      </w:pPr>
      <w:bookmarkStart w:id="179" w:name="configurer-les-frais-dune-classe"/>
      <w:bookmarkEnd w:id="179"/>
      <w:r>
        <w:rPr/>
        <w:t>Configurer les frais d’une classe</w:t>
      </w:r>
    </w:p>
    <w:p>
      <w:pPr>
        <w:pStyle w:val="FirstParagraph"/>
        <w:rPr/>
      </w:pPr>
      <w:r>
        <w:rPr/>
        <w:t xml:space="preserve">À faire </w:t>
      </w:r>
      <w:r>
        <w:rPr>
          <w:b/>
          <w:bCs/>
        </w:rPr>
        <w:t>pour chaque classe</w:t>
      </w:r>
      <w:r>
        <w:rPr/>
        <w:t xml:space="preserve">, avant les premières inscriptions de l’année. Onglet </w:t>
      </w:r>
      <w:r>
        <w:rPr>
          <w:i/>
          <w:iCs/>
        </w:rPr>
        <w:t>Configuration des Frais</w:t>
      </w:r>
      <w:r>
        <w:rPr/>
        <w:t>.</w:t>
      </w:r>
    </w:p>
    <w:p>
      <w:pPr>
        <w:pStyle w:val="Heading4"/>
        <w:rPr/>
      </w:pPr>
      <w:bookmarkStart w:id="180" w:name="Xfcf562e89ae1e587ffb66e75beb57d7344dc41a"/>
      <w:r>
        <w:rPr/>
        <w:t>Méthode rapide (recommandée) : Config. Rapide</w:t>
      </w:r>
    </w:p>
    <w:p>
      <w:pPr>
        <w:pStyle w:val="Normal"/>
        <w:jc w:val="center"/>
        <w:rPr/>
      </w:pPr>
      <w:r>
        <w:rPr/>
        <w:drawing>
          <wp:inline distT="0" distB="0" distL="0" distR="0">
            <wp:extent cx="5334000" cy="3333750"/>
            <wp:effectExtent l="0" t="0" r="0" b="0"/>
            <wp:docPr id="47" name="Image47" descr="L’onglet Configuration des Fr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7" descr="L’onglet Configuration des Frais"/>
                    <pic:cNvPicPr>
                      <a:picLocks noChangeAspect="1" noChangeArrowheads="1"/>
                    </pic:cNvPicPr>
                  </pic:nvPicPr>
                  <pic:blipFill>
                    <a:blip r:embed="rId48"/>
                    <a:stretch>
                      <a:fillRect/>
                    </a:stretch>
                  </pic:blipFill>
                  <pic:spPr bwMode="auto">
                    <a:xfrm>
                      <a:off x="0" y="0"/>
                      <a:ext cx="5334000" cy="3333750"/>
                    </a:xfrm>
                    <a:prstGeom prst="rect">
                      <a:avLst/>
                    </a:prstGeom>
                  </pic:spPr>
                </pic:pic>
              </a:graphicData>
            </a:graphic>
          </wp:inline>
        </w:drawing>
      </w:r>
    </w:p>
    <w:p>
      <w:pPr>
        <w:pStyle w:val="ImageCaption"/>
        <w:rPr/>
      </w:pPr>
      <w:r>
        <w:rPr/>
        <w:t>L’onglet Configuration des Frais</w:t>
      </w:r>
    </w:p>
    <w:p>
      <w:pPr>
        <w:pStyle w:val="Normal"/>
        <w:jc w:val="center"/>
        <w:rPr/>
      </w:pPr>
      <w:r>
        <w:rPr/>
        <w:drawing>
          <wp:inline distT="0" distB="0" distL="0" distR="0">
            <wp:extent cx="5334000" cy="3333750"/>
            <wp:effectExtent l="0" t="0" r="0" b="0"/>
            <wp:docPr id="48" name="Image48" descr="La fenêtre « Configuration Rap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8" descr="La fenêtre « Configuration Rapide »"/>
                    <pic:cNvPicPr>
                      <a:picLocks noChangeAspect="1" noChangeArrowheads="1"/>
                    </pic:cNvPicPr>
                  </pic:nvPicPr>
                  <pic:blipFill>
                    <a:blip r:embed="rId49"/>
                    <a:stretch>
                      <a:fillRect/>
                    </a:stretch>
                  </pic:blipFill>
                  <pic:spPr bwMode="auto">
                    <a:xfrm>
                      <a:off x="0" y="0"/>
                      <a:ext cx="5334000" cy="3333750"/>
                    </a:xfrm>
                    <a:prstGeom prst="rect">
                      <a:avLst/>
                    </a:prstGeom>
                  </pic:spPr>
                </pic:pic>
              </a:graphicData>
            </a:graphic>
          </wp:inline>
        </w:drawing>
      </w:r>
    </w:p>
    <w:p>
      <w:pPr>
        <w:pStyle w:val="ImageCaption"/>
        <w:rPr/>
      </w:pPr>
      <w:r>
        <w:rPr/>
        <w:t>La fenêtre « Configuration Rapide »</w:t>
      </w:r>
    </w:p>
    <w:p>
      <w:pPr>
        <w:pStyle w:val="Compact"/>
        <w:numPr>
          <w:ilvl w:val="0"/>
          <w:numId w:val="307"/>
        </w:numPr>
        <w:rPr/>
      </w:pPr>
      <w:r>
        <w:rPr/>
        <w:t xml:space="preserve">Cliquez sur </w:t>
      </w:r>
      <w:r>
        <w:rPr>
          <w:b/>
          <w:bCs/>
        </w:rPr>
        <w:t>Config. Rapide</w:t>
      </w:r>
      <w:r>
        <w:rPr/>
        <w:t>.</w:t>
      </w:r>
    </w:p>
    <w:p>
      <w:pPr>
        <w:pStyle w:val="Compact"/>
        <w:numPr>
          <w:ilvl w:val="0"/>
          <w:numId w:val="308"/>
        </w:numPr>
        <w:rPr/>
      </w:pPr>
      <w:r>
        <w:rPr/>
        <w:t>Choisissez la « Classe ».</w:t>
      </w:r>
    </w:p>
    <w:p>
      <w:pPr>
        <w:pStyle w:val="Compact"/>
        <w:numPr>
          <w:ilvl w:val="0"/>
          <w:numId w:val="309"/>
        </w:numPr>
        <w:rPr/>
      </w:pPr>
      <w:r>
        <w:rPr/>
        <w:t xml:space="preserve">Tapez le montant « Inscription (FCFA) » (ex. </w:t>
      </w:r>
      <w:r>
        <w:rPr>
          <w:rStyle w:val="VerbatimChar"/>
        </w:rPr>
        <w:t>25000</w:t>
      </w:r>
      <w:r>
        <w:rPr/>
        <w:t>).</w:t>
      </w:r>
    </w:p>
    <w:p>
      <w:pPr>
        <w:pStyle w:val="Compact"/>
        <w:numPr>
          <w:ilvl w:val="0"/>
          <w:numId w:val="310"/>
        </w:numPr>
        <w:rPr/>
      </w:pPr>
      <w:r>
        <w:rPr/>
        <w:t xml:space="preserve">Dans la partie </w:t>
      </w:r>
      <w:r>
        <w:rPr>
          <w:i/>
          <w:iCs/>
        </w:rPr>
        <w:t>Scolarité &amp; Échéancier</w:t>
      </w:r>
      <w:r>
        <w:rPr/>
        <w:t xml:space="preserve">, tapez le « Total Scolarité » (ex. </w:t>
      </w:r>
      <w:r>
        <w:rPr>
          <w:rStyle w:val="VerbatimChar"/>
        </w:rPr>
        <w:t>400000</w:t>
      </w:r>
      <w:r>
        <w:rPr/>
        <w:t>).</w:t>
      </w:r>
    </w:p>
    <w:p>
      <w:pPr>
        <w:pStyle w:val="Compact"/>
        <w:numPr>
          <w:ilvl w:val="0"/>
          <w:numId w:val="311"/>
        </w:numPr>
        <w:rPr/>
      </w:pPr>
      <w:r>
        <w:rPr/>
        <w:t xml:space="preserve">Pour chaque tranche : montant, date d’« Échéance » et « Libellé » (ex. </w:t>
      </w:r>
      <w:r>
        <w:rPr>
          <w:i/>
          <w:iCs/>
        </w:rPr>
        <w:t>Tranche 1</w:t>
      </w:r>
      <w:r>
        <w:rPr/>
        <w:t xml:space="preserve">, 100 000, 15/10/2026). </w:t>
      </w:r>
      <w:r>
        <w:rPr>
          <w:b/>
          <w:bCs/>
        </w:rPr>
        <w:t>Ajouter une tranche</w:t>
      </w:r>
      <w:r>
        <w:rPr/>
        <w:t xml:space="preserve"> ajoute une ligne ; la corbeille rouge en supprime une.</w:t>
      </w:r>
    </w:p>
    <w:p>
      <w:pPr>
        <w:pStyle w:val="Compact"/>
        <w:numPr>
          <w:ilvl w:val="0"/>
          <w:numId w:val="312"/>
        </w:numPr>
        <w:rPr/>
      </w:pPr>
      <w:r>
        <w:rPr/>
        <w:t xml:space="preserve">Le compteur </w:t>
      </w:r>
      <w:r>
        <w:rPr>
          <w:rStyle w:val="VerbatimChar"/>
        </w:rPr>
        <w:t>400 000 / 400 000</w:t>
      </w:r>
      <w:r>
        <w:rPr/>
        <w:t xml:space="preserve"> doit devenir </w:t>
      </w:r>
      <w:r>
        <w:rPr>
          <w:b/>
          <w:bCs/>
        </w:rPr>
        <w:t>vert</w:t>
      </w:r>
      <w:r>
        <w:rPr/>
        <w:t xml:space="preserve"> : la somme des tranches doit être égale au total. Sinon le bouton reste grisé.</w:t>
      </w:r>
    </w:p>
    <w:p>
      <w:pPr>
        <w:pStyle w:val="Compact"/>
        <w:numPr>
          <w:ilvl w:val="0"/>
          <w:numId w:val="313"/>
        </w:numPr>
        <w:rPr/>
      </w:pPr>
      <w:r>
        <w:rPr/>
        <w:t xml:space="preserve">Cliquez sur </w:t>
      </w:r>
      <w:r>
        <w:rPr>
          <w:b/>
          <w:bCs/>
        </w:rPr>
        <w:t>Générer</w:t>
      </w:r>
      <w:r>
        <w:rPr/>
        <w:t>.</w:t>
      </w:r>
    </w:p>
    <w:p>
      <w:pPr>
        <w:pStyle w:val="FirstParagraph"/>
        <w:rPr/>
      </w:pPr>
      <w:r>
        <w:rPr/>
        <w:t>Résultat : les frais (inscription + chaque tranche) et l’</w:t>
      </w:r>
      <w:r>
        <w:rPr>
          <w:b/>
          <w:bCs/>
        </w:rPr>
        <w:t>échéancier de la classe</w:t>
      </w:r>
      <w:r>
        <w:rPr/>
        <w:t xml:space="preserve"> sont créés. Les étudiants de la classe suivent automatiquement cet échéancier.</w:t>
      </w:r>
      <w:bookmarkEnd w:id="180"/>
    </w:p>
    <w:p>
      <w:pPr>
        <w:pStyle w:val="Heading4"/>
        <w:rPr/>
      </w:pPr>
      <w:bookmarkStart w:id="181" w:name="modifier-ou-supprimer-un-frais"/>
      <w:bookmarkEnd w:id="181"/>
      <w:r>
        <w:rPr/>
        <w:t>Modifier ou supprimer un frais</w:t>
      </w:r>
    </w:p>
    <w:p>
      <w:pPr>
        <w:pStyle w:val="FirstParagraph"/>
        <w:rPr/>
      </w:pPr>
      <w:r>
        <w:rPr/>
        <w:t>Dans le tableau (colonnes Libellé, Montant, Obligatoire, Échéance), le crayon modifie (« Classe », « Libellé », « Montant (FCFA) », « Date d’échéance »), la corbeille supprime.</w:t>
      </w:r>
    </w:p>
    <w:p>
      <w:pPr>
        <w:pStyle w:val="EncadreInfo"/>
        <w:rPr/>
      </w:pPr>
      <w:r>
        <w:rPr>
          <w:b/>
          <w:bCs/>
        </w:rPr>
        <w:t>Remarque</w:t>
      </w:r>
    </w:p>
    <w:p>
      <w:pPr>
        <w:pStyle w:val="EncadreInfo"/>
        <w:rPr/>
      </w:pPr>
      <w:r>
        <w:rPr/>
        <w:t>Un même libellé ne peut exister qu’une fois par classe.</w:t>
      </w:r>
    </w:p>
    <w:p>
      <w:pPr>
        <w:pStyle w:val="Normal"/>
        <w:spacing w:before="0" w:after="60"/>
        <w:rPr>
          <w:sz w:val="8"/>
        </w:rPr>
      </w:pPr>
      <w:r>
        <w:rPr>
          <w:sz w:val="8"/>
        </w:rPr>
      </w:r>
      <w:bookmarkStart w:id="182" w:name="configurer-les-frais-dune-classe"/>
      <w:bookmarkStart w:id="183" w:name="modifier-ou-supprimer-un-frais"/>
      <w:bookmarkStart w:id="184" w:name="configurer-les-frais-dune-classe"/>
      <w:bookmarkStart w:id="185" w:name="modifier-ou-supprimer-un-frais"/>
      <w:bookmarkEnd w:id="184"/>
      <w:bookmarkEnd w:id="185"/>
    </w:p>
    <w:p>
      <w:pPr>
        <w:pStyle w:val="Heading3"/>
        <w:rPr/>
      </w:pPr>
      <w:bookmarkStart w:id="186" w:name="enregistrer-un-paiement"/>
      <w:r>
        <w:rPr/>
        <w:t>Enregistrer un paiement</w:t>
      </w:r>
    </w:p>
    <w:p>
      <w:pPr>
        <w:pStyle w:val="Normal"/>
        <w:jc w:val="center"/>
        <w:rPr/>
      </w:pPr>
      <w:r>
        <w:rPr/>
        <w:drawing>
          <wp:inline distT="0" distB="0" distL="0" distR="0">
            <wp:extent cx="5334000" cy="3333750"/>
            <wp:effectExtent l="0" t="0" r="0" b="0"/>
            <wp:docPr id="49" name="Image49" descr="Le suivi des paiements : (1) Nouvelle inscription, (2) P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49" descr="Le suivi des paiements : (1) Nouvelle inscription, (2) Payer"/>
                    <pic:cNvPicPr>
                      <a:picLocks noChangeAspect="1" noChangeArrowheads="1"/>
                    </pic:cNvPicPr>
                  </pic:nvPicPr>
                  <pic:blipFill>
                    <a:blip r:embed="rId50"/>
                    <a:stretch>
                      <a:fillRect/>
                    </a:stretch>
                  </pic:blipFill>
                  <pic:spPr bwMode="auto">
                    <a:xfrm>
                      <a:off x="0" y="0"/>
                      <a:ext cx="5334000" cy="3333750"/>
                    </a:xfrm>
                    <a:prstGeom prst="rect">
                      <a:avLst/>
                    </a:prstGeom>
                  </pic:spPr>
                </pic:pic>
              </a:graphicData>
            </a:graphic>
          </wp:inline>
        </w:drawing>
      </w:r>
    </w:p>
    <w:p>
      <w:pPr>
        <w:pStyle w:val="ImageCaption"/>
        <w:rPr/>
      </w:pPr>
      <w:r>
        <w:rPr/>
        <w:t>Le suivi des paiements : (1) Nouvelle inscription, (2) Payer</w:t>
      </w:r>
    </w:p>
    <w:p>
      <w:pPr>
        <w:pStyle w:val="Normal"/>
        <w:jc w:val="center"/>
        <w:rPr/>
      </w:pPr>
      <w:r>
        <w:rPr/>
        <w:drawing>
          <wp:inline distT="0" distB="0" distL="0" distR="0">
            <wp:extent cx="5334000" cy="3333750"/>
            <wp:effectExtent l="0" t="0" r="0" b="0"/>
            <wp:docPr id="50" name="Image50" descr="La fenêtre « Enregistrer un nouveau pai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50" descr="La fenêtre « Enregistrer un nouveau paiement »"/>
                    <pic:cNvPicPr>
                      <a:picLocks noChangeAspect="1" noChangeArrowheads="1"/>
                    </pic:cNvPicPr>
                  </pic:nvPicPr>
                  <pic:blipFill>
                    <a:blip r:embed="rId51"/>
                    <a:stretch>
                      <a:fillRect/>
                    </a:stretch>
                  </pic:blipFill>
                  <pic:spPr bwMode="auto">
                    <a:xfrm>
                      <a:off x="0" y="0"/>
                      <a:ext cx="5334000" cy="3333750"/>
                    </a:xfrm>
                    <a:prstGeom prst="rect">
                      <a:avLst/>
                    </a:prstGeom>
                  </pic:spPr>
                </pic:pic>
              </a:graphicData>
            </a:graphic>
          </wp:inline>
        </w:drawing>
      </w:r>
    </w:p>
    <w:p>
      <w:pPr>
        <w:pStyle w:val="ImageCaption"/>
        <w:rPr/>
      </w:pPr>
      <w:r>
        <w:rPr/>
        <w:t>La fenêtre « Enregistrer un nouveau paiement »</w:t>
      </w:r>
    </w:p>
    <w:p>
      <w:pPr>
        <w:pStyle w:val="Normal"/>
        <w:numPr>
          <w:ilvl w:val="0"/>
          <w:numId w:val="314"/>
        </w:numPr>
        <w:rPr/>
      </w:pPr>
      <w:r>
        <w:rPr/>
        <w:t xml:space="preserve">Onglet </w:t>
      </w:r>
      <w:r>
        <w:rPr>
          <w:i/>
          <w:iCs/>
        </w:rPr>
        <w:t>Suivi des paiements</w:t>
      </w:r>
      <w:r>
        <w:rPr/>
        <w:t>.</w:t>
      </w:r>
    </w:p>
    <w:p>
      <w:pPr>
        <w:pStyle w:val="Normal"/>
        <w:numPr>
          <w:ilvl w:val="0"/>
          <w:numId w:val="315"/>
        </w:numPr>
        <w:rPr/>
      </w:pPr>
      <w:r>
        <w:rPr/>
        <w:t>Recherchez l’étudiant (nom, matricule) ou filtrez par classe ou par statut (</w:t>
      </w:r>
      <w:r>
        <w:rPr>
          <w:i/>
          <w:iCs/>
        </w:rPr>
        <w:t>Soldé</w:t>
      </w:r>
      <w:r>
        <w:rPr/>
        <w:t xml:space="preserve">, </w:t>
      </w:r>
      <w:r>
        <w:rPr>
          <w:i/>
          <w:iCs/>
        </w:rPr>
        <w:t>Partiel</w:t>
      </w:r>
      <w:r>
        <w:rPr/>
        <w:t xml:space="preserve">, </w:t>
      </w:r>
      <w:r>
        <w:rPr>
          <w:i/>
          <w:iCs/>
        </w:rPr>
        <w:t>Non payé</w:t>
      </w:r>
      <w:r>
        <w:rPr/>
        <w:t>).</w:t>
      </w:r>
    </w:p>
    <w:p>
      <w:pPr>
        <w:pStyle w:val="Normal"/>
        <w:numPr>
          <w:ilvl w:val="0"/>
          <w:numId w:val="316"/>
        </w:numPr>
        <w:rPr/>
      </w:pPr>
      <w:r>
        <w:rPr/>
        <w:t xml:space="preserve">Sur sa ligne, cliquez sur </w:t>
      </w:r>
      <w:r>
        <w:rPr>
          <w:b/>
          <w:bCs/>
        </w:rPr>
        <w:t>Payer</w:t>
      </w:r>
      <w:r>
        <w:rPr/>
        <w:t>. La fenêtre « Enregistrer un nouveau paiement » s’ouvre.</w:t>
      </w:r>
    </w:p>
    <w:p>
      <w:pPr>
        <w:pStyle w:val="Normal"/>
        <w:numPr>
          <w:ilvl w:val="0"/>
          <w:numId w:val="317"/>
        </w:numPr>
        <w:rPr/>
      </w:pPr>
      <w:r>
        <w:rPr/>
        <w:t>Remplissez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3741"/>
        <w:gridCol w:w="5896"/>
      </w:tblGrid>
      <w:tr>
        <w:trPr>
          <w:tblHeader w:val="true"/>
          <w:cantSplit w:val="true"/>
        </w:trPr>
        <w:tc>
          <w:tcPr>
            <w:tcW w:w="374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589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Choix</w:t>
            </w:r>
          </w:p>
        </w:tc>
      </w:tr>
      <w:tr>
        <w:trPr>
          <w:cantSplit w:val="true"/>
        </w:trPr>
        <w:tc>
          <w:tcPr>
            <w:tcW w:w="37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Type de paiement</w:t>
            </w:r>
          </w:p>
        </w:tc>
        <w:tc>
          <w:tcPr>
            <w:tcW w:w="589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Frais d’inscription</w:t>
            </w:r>
            <w:r>
              <w:rPr>
                <w:rFonts w:eastAsia="Calibri" w:cs="Calibri"/>
                <w:kern w:val="0"/>
                <w:sz w:val="19"/>
                <w:szCs w:val="19"/>
                <w:lang w:val="fr-FR" w:eastAsia="en-US" w:bidi="ar-SA"/>
              </w:rPr>
              <w:t xml:space="preserve"> ou </w:t>
            </w:r>
            <w:r>
              <w:rPr>
                <w:rFonts w:eastAsia="Calibri" w:cs="Calibri"/>
                <w:b/>
                <w:bCs/>
                <w:kern w:val="0"/>
                <w:sz w:val="19"/>
                <w:szCs w:val="19"/>
                <w:lang w:val="fr-FR" w:eastAsia="en-US" w:bidi="ar-SA"/>
              </w:rPr>
              <w:t>Frais de formation</w:t>
            </w:r>
          </w:p>
        </w:tc>
      </w:tr>
      <w:tr>
        <w:trPr>
          <w:cantSplit w:val="true"/>
        </w:trPr>
        <w:tc>
          <w:tcPr>
            <w:tcW w:w="37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Montant à payer</w:t>
            </w:r>
          </w:p>
        </w:tc>
        <w:tc>
          <w:tcPr>
            <w:tcW w:w="589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Le montant </w:t>
            </w:r>
            <w:r>
              <w:rPr>
                <w:rFonts w:eastAsia="Calibri" w:cs="Calibri"/>
                <w:b/>
                <w:bCs/>
                <w:kern w:val="0"/>
                <w:sz w:val="19"/>
                <w:szCs w:val="19"/>
                <w:lang w:val="fr-FR" w:eastAsia="en-US" w:bidi="ar-SA"/>
              </w:rPr>
              <w:t>reçu</w:t>
            </w:r>
            <w:r>
              <w:rPr>
                <w:rFonts w:eastAsia="Calibri" w:cs="Calibri"/>
                <w:kern w:val="0"/>
                <w:sz w:val="19"/>
                <w:szCs w:val="19"/>
                <w:lang w:val="fr-FR" w:eastAsia="en-US" w:bidi="ar-SA"/>
              </w:rPr>
              <w:t xml:space="preserve"> (un paiement partiel est possible).</w:t>
            </w:r>
          </w:p>
        </w:tc>
      </w:tr>
      <w:tr>
        <w:trPr>
          <w:cantSplit w:val="true"/>
        </w:trPr>
        <w:tc>
          <w:tcPr>
            <w:tcW w:w="37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Mode de paiement</w:t>
            </w:r>
          </w:p>
        </w:tc>
        <w:tc>
          <w:tcPr>
            <w:tcW w:w="589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Cash, Mobile Money, Orange Money, Virement bancaire, Chèque</w:t>
            </w:r>
          </w:p>
        </w:tc>
      </w:tr>
      <w:tr>
        <w:trPr>
          <w:cantSplit w:val="true"/>
        </w:trPr>
        <w:tc>
          <w:tcPr>
            <w:tcW w:w="37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Scan / Photo du reçu de paiement * (Obligatoire)</w:t>
            </w:r>
          </w:p>
        </w:tc>
        <w:tc>
          <w:tcPr>
            <w:tcW w:w="589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Cliquez sur </w:t>
            </w:r>
            <w:r>
              <w:rPr>
                <w:rFonts w:eastAsia="Calibri" w:cs="Calibri"/>
                <w:b/>
                <w:bCs/>
                <w:kern w:val="0"/>
                <w:sz w:val="19"/>
                <w:szCs w:val="19"/>
                <w:lang w:val="fr-FR" w:eastAsia="en-US" w:bidi="ar-SA"/>
              </w:rPr>
              <w:t>Importer le justificatif</w:t>
            </w:r>
            <w:r>
              <w:rPr>
                <w:rFonts w:eastAsia="Calibri" w:cs="Calibri"/>
                <w:kern w:val="0"/>
                <w:sz w:val="19"/>
                <w:szCs w:val="19"/>
                <w:lang w:val="fr-FR" w:eastAsia="en-US" w:bidi="ar-SA"/>
              </w:rPr>
              <w:t xml:space="preserve"> et choisissez la photo du reçu ou du bordereau.</w:t>
            </w:r>
          </w:p>
        </w:tc>
      </w:tr>
    </w:tbl>
    <w:p>
      <w:pPr>
        <w:pStyle w:val="Normal"/>
        <w:numPr>
          <w:ilvl w:val="0"/>
          <w:numId w:val="318"/>
        </w:numPr>
        <w:rPr/>
      </w:pPr>
      <w:r>
        <w:rPr/>
        <w:t>Enregistrez.</w:t>
      </w:r>
    </w:p>
    <w:p>
      <w:pPr>
        <w:pStyle w:val="FirstParagraph"/>
        <w:rPr/>
      </w:pPr>
      <w:r>
        <w:rPr/>
        <w:t xml:space="preserve">Le solde est recalculé immédiatement. Pour la scolarité, le paiement est </w:t>
      </w:r>
      <w:r>
        <w:rPr>
          <w:b/>
          <w:bCs/>
        </w:rPr>
        <w:t>imputé sur les tranches dans l’ordre</w:t>
      </w:r>
      <w:r>
        <w:rPr/>
        <w:t xml:space="preserve"> : la tranche 1 est soldée en premier, le surplus passe sur la tranche 2, etc.</w:t>
      </w:r>
    </w:p>
    <w:p>
      <w:pPr>
        <w:pStyle w:val="BodyText"/>
        <w:rPr/>
      </w:pPr>
      <w:r>
        <w:rPr/>
        <w:t xml:space="preserve">Exemple : échéancier 4 × 100 000 ; l’étudiant paie 150 000 → </w:t>
      </w:r>
      <w:r>
        <w:rPr>
          <w:i/>
          <w:iCs/>
        </w:rPr>
        <w:t>Tranche 1</w:t>
      </w:r>
      <w:r>
        <w:rPr/>
        <w:t xml:space="preserve"> payée, </w:t>
      </w:r>
      <w:r>
        <w:rPr>
          <w:i/>
          <w:iCs/>
        </w:rPr>
        <w:t>Tranche 2</w:t>
      </w:r>
      <w:r>
        <w:rPr/>
        <w:t xml:space="preserve"> partiellement payée (50 000).</w:t>
      </w:r>
    </w:p>
    <w:p>
      <w:pPr>
        <w:pStyle w:val="Heading4"/>
        <w:rPr/>
      </w:pPr>
      <w:bookmarkStart w:id="187" w:name="X46f7d623461e6f507bb77de577e3aa7eae02722"/>
      <w:r>
        <w:rPr/>
        <w:t>Consulter l’historique et les justificatifs</w:t>
      </w:r>
    </w:p>
    <w:p>
      <w:pPr>
        <w:pStyle w:val="Normal"/>
        <w:jc w:val="center"/>
        <w:rPr/>
      </w:pPr>
      <w:r>
        <w:rPr/>
        <w:drawing>
          <wp:inline distT="0" distB="0" distL="0" distR="0">
            <wp:extent cx="5334000" cy="3333750"/>
            <wp:effectExtent l="0" t="0" r="0" b="0"/>
            <wp:docPr id="51" name="Image51" descr="Détails &amp; Reçus : historique et justificati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51" descr="Détails &amp; Reçus : historique et justificatifs"/>
                    <pic:cNvPicPr>
                      <a:picLocks noChangeAspect="1" noChangeArrowheads="1"/>
                    </pic:cNvPicPr>
                  </pic:nvPicPr>
                  <pic:blipFill>
                    <a:blip r:embed="rId52"/>
                    <a:stretch>
                      <a:fillRect/>
                    </a:stretch>
                  </pic:blipFill>
                  <pic:spPr bwMode="auto">
                    <a:xfrm>
                      <a:off x="0" y="0"/>
                      <a:ext cx="5334000" cy="3333750"/>
                    </a:xfrm>
                    <a:prstGeom prst="rect">
                      <a:avLst/>
                    </a:prstGeom>
                  </pic:spPr>
                </pic:pic>
              </a:graphicData>
            </a:graphic>
          </wp:inline>
        </w:drawing>
      </w:r>
    </w:p>
    <w:p>
      <w:pPr>
        <w:pStyle w:val="ImageCaption"/>
        <w:rPr/>
      </w:pPr>
      <w:r>
        <w:rPr/>
        <w:t>Détails &amp; Reçus : historique et justificatifs</w:t>
      </w:r>
    </w:p>
    <w:p>
      <w:pPr>
        <w:pStyle w:val="Normal"/>
        <w:jc w:val="center"/>
        <w:rPr/>
      </w:pPr>
      <w:r>
        <w:rPr/>
        <w:drawing>
          <wp:inline distT="0" distB="0" distL="0" distR="0">
            <wp:extent cx="5334000" cy="3333750"/>
            <wp:effectExtent l="0" t="0" r="0" b="0"/>
            <wp:docPr id="52" name="Image52" descr="Détails &amp; Reçus : échéancier des tran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52" descr="Détails &amp; Reçus : échéancier des tranches"/>
                    <pic:cNvPicPr>
                      <a:picLocks noChangeAspect="1" noChangeArrowheads="1"/>
                    </pic:cNvPicPr>
                  </pic:nvPicPr>
                  <pic:blipFill>
                    <a:blip r:embed="rId53"/>
                    <a:stretch>
                      <a:fillRect/>
                    </a:stretch>
                  </pic:blipFill>
                  <pic:spPr bwMode="auto">
                    <a:xfrm>
                      <a:off x="0" y="0"/>
                      <a:ext cx="5334000" cy="3333750"/>
                    </a:xfrm>
                    <a:prstGeom prst="rect">
                      <a:avLst/>
                    </a:prstGeom>
                  </pic:spPr>
                </pic:pic>
              </a:graphicData>
            </a:graphic>
          </wp:inline>
        </w:drawing>
      </w:r>
    </w:p>
    <w:p>
      <w:pPr>
        <w:pStyle w:val="ImageCaption"/>
        <w:rPr/>
      </w:pPr>
      <w:r>
        <w:rPr/>
        <w:t>Détails &amp; Reçus : échéancier des tranches</w:t>
      </w:r>
    </w:p>
    <w:p>
      <w:pPr>
        <w:pStyle w:val="BodyText"/>
        <w:rPr/>
      </w:pPr>
      <w:r>
        <w:rPr>
          <w:b/>
          <w:bCs/>
        </w:rPr>
        <w:t>Détails &amp; Reçus</w:t>
      </w:r>
      <w:r>
        <w:rPr/>
        <w:t xml:space="preserve"> sur la ligne de l’étudiant : liste de ses paiements, « Échéancier des Tranches » avec l’état de chaque tranche, et bouton </w:t>
      </w:r>
      <w:r>
        <w:rPr>
          <w:b/>
          <w:bCs/>
        </w:rPr>
        <w:t>Voir le justificatif</w:t>
      </w:r>
      <w:r>
        <w:rPr/>
        <w:t xml:space="preserve"> pour chaque paiement. </w:t>
      </w:r>
      <w:r>
        <w:rPr>
          <w:b/>
          <w:bCs/>
        </w:rPr>
        <w:t>Enregistrer un paiement</w:t>
      </w:r>
      <w:r>
        <w:rPr/>
        <w:t xml:space="preserve"> est aussi disponible depuis cette fenêtre.</w:t>
      </w:r>
      <w:bookmarkEnd w:id="186"/>
      <w:bookmarkEnd w:id="187"/>
    </w:p>
    <w:p>
      <w:pPr>
        <w:pStyle w:val="Heading3"/>
        <w:rPr/>
      </w:pPr>
      <w:bookmarkStart w:id="188" w:name="suivre-les-retards"/>
      <w:r>
        <w:rPr/>
        <w:t>Suivre les retards</w:t>
      </w:r>
    </w:p>
    <w:p>
      <w:pPr>
        <w:pStyle w:val="Normal"/>
        <w:jc w:val="center"/>
        <w:rPr/>
      </w:pPr>
      <w:r>
        <w:rPr/>
        <w:drawing>
          <wp:inline distT="0" distB="0" distL="0" distR="0">
            <wp:extent cx="5334000" cy="3333750"/>
            <wp:effectExtent l="0" t="0" r="0" b="0"/>
            <wp:docPr id="53" name="Image53" descr="Chiffres clés, échéances en retard et recouvrement par fil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53" descr="Chiffres clés, échéances en retard et recouvrement par filière"/>
                    <pic:cNvPicPr>
                      <a:picLocks noChangeAspect="1" noChangeArrowheads="1"/>
                    </pic:cNvPicPr>
                  </pic:nvPicPr>
                  <pic:blipFill>
                    <a:blip r:embed="rId54"/>
                    <a:stretch>
                      <a:fillRect/>
                    </a:stretch>
                  </pic:blipFill>
                  <pic:spPr bwMode="auto">
                    <a:xfrm>
                      <a:off x="0" y="0"/>
                      <a:ext cx="5334000" cy="3333750"/>
                    </a:xfrm>
                    <a:prstGeom prst="rect">
                      <a:avLst/>
                    </a:prstGeom>
                  </pic:spPr>
                </pic:pic>
              </a:graphicData>
            </a:graphic>
          </wp:inline>
        </w:drawing>
      </w:r>
    </w:p>
    <w:p>
      <w:pPr>
        <w:pStyle w:val="ImageCaption"/>
        <w:rPr/>
      </w:pPr>
      <w:r>
        <w:rPr/>
        <w:t>Chiffres clés, échéances en retard et recouvrement par filière</w:t>
      </w:r>
    </w:p>
    <w:p>
      <w:pPr>
        <w:pStyle w:val="Compact"/>
        <w:numPr>
          <w:ilvl w:val="0"/>
          <w:numId w:val="319"/>
        </w:numPr>
        <w:rPr/>
      </w:pPr>
      <w:r>
        <w:rPr/>
        <w:t xml:space="preserve">Onglet </w:t>
      </w:r>
      <w:r>
        <w:rPr>
          <w:i/>
          <w:iCs/>
        </w:rPr>
        <w:t>Statistiques</w:t>
      </w:r>
      <w:r>
        <w:rPr/>
        <w:t xml:space="preserve"> : chiffres clés (étudiants </w:t>
      </w:r>
      <w:r>
        <w:rPr>
          <w:i/>
          <w:iCs/>
        </w:rPr>
        <w:t>soldés</w:t>
      </w:r>
      <w:r>
        <w:rPr/>
        <w:t xml:space="preserve">, </w:t>
      </w:r>
      <w:r>
        <w:rPr>
          <w:i/>
          <w:iCs/>
        </w:rPr>
        <w:t>partiels</w:t>
      </w:r>
      <w:r>
        <w:rPr/>
        <w:t xml:space="preserve">, </w:t>
      </w:r>
      <w:r>
        <w:rPr>
          <w:i/>
          <w:iCs/>
        </w:rPr>
        <w:t>impayés</w:t>
      </w:r>
      <w:r>
        <w:rPr/>
        <w:t>), recouvrement par filière (Filière, Étudiants, Total recouvré) et par mois.</w:t>
      </w:r>
    </w:p>
    <w:p>
      <w:pPr>
        <w:pStyle w:val="Compact"/>
        <w:numPr>
          <w:ilvl w:val="0"/>
          <w:numId w:val="320"/>
        </w:numPr>
        <w:rPr/>
      </w:pPr>
      <w:r>
        <w:rPr/>
        <w:t xml:space="preserve">Bloc </w:t>
      </w:r>
      <w:r>
        <w:rPr>
          <w:b/>
          <w:bCs/>
        </w:rPr>
        <w:t>Échéances en retard</w:t>
      </w:r>
      <w:r>
        <w:rPr/>
        <w:t xml:space="preserve"> : chaque tranche dont la date est dépassée et qui n’est pas soldée (Étudiant, Tranche, Échéance, Reste à payer, Alerte). Plus le retard est important, plus l’alerte est forte.</w:t>
      </w:r>
      <w:bookmarkEnd w:id="188"/>
    </w:p>
    <w:p>
      <w:pPr>
        <w:pStyle w:val="Heading3"/>
        <w:rPr/>
      </w:pPr>
      <w:bookmarkStart w:id="189" w:name="bourses"/>
      <w:r>
        <w:rPr/>
        <w:t>Bourses</w:t>
      </w:r>
    </w:p>
    <w:p>
      <w:pPr>
        <w:pStyle w:val="Normal"/>
        <w:jc w:val="center"/>
        <w:rPr/>
      </w:pPr>
      <w:r>
        <w:rPr/>
        <w:drawing>
          <wp:inline distT="0" distB="0" distL="0" distR="0">
            <wp:extent cx="5334000" cy="3333750"/>
            <wp:effectExtent l="0" t="0" r="0" b="0"/>
            <wp:docPr id="54" name="Image54" descr="L’onglet Gestion des Bou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4" descr="L’onglet Gestion des Bourses"/>
                    <pic:cNvPicPr>
                      <a:picLocks noChangeAspect="1" noChangeArrowheads="1"/>
                    </pic:cNvPicPr>
                  </pic:nvPicPr>
                  <pic:blipFill>
                    <a:blip r:embed="rId55"/>
                    <a:stretch>
                      <a:fillRect/>
                    </a:stretch>
                  </pic:blipFill>
                  <pic:spPr bwMode="auto">
                    <a:xfrm>
                      <a:off x="0" y="0"/>
                      <a:ext cx="5334000" cy="3333750"/>
                    </a:xfrm>
                    <a:prstGeom prst="rect">
                      <a:avLst/>
                    </a:prstGeom>
                  </pic:spPr>
                </pic:pic>
              </a:graphicData>
            </a:graphic>
          </wp:inline>
        </w:drawing>
      </w:r>
    </w:p>
    <w:p>
      <w:pPr>
        <w:pStyle w:val="ImageCaption"/>
        <w:rPr/>
      </w:pPr>
      <w:r>
        <w:rPr/>
        <w:t>L’onglet Gestion des Bourses</w:t>
      </w:r>
    </w:p>
    <w:p>
      <w:pPr>
        <w:pStyle w:val="BodyText"/>
        <w:rPr/>
      </w:pPr>
      <w:r>
        <w:rPr/>
        <w:t xml:space="preserve">Une </w:t>
      </w:r>
      <w:r>
        <w:rPr>
          <w:b/>
          <w:bCs/>
        </w:rPr>
        <w:t>bourse</w:t>
      </w:r>
      <w:r>
        <w:rPr/>
        <w:t xml:space="preserve"> est un montant déduit de la scolarité d’un étudiant, identifié par un </w:t>
      </w:r>
      <w:r>
        <w:rPr>
          <w:b/>
          <w:bCs/>
        </w:rPr>
        <w:t>code unique</w:t>
      </w:r>
      <w:r>
        <w:rPr/>
        <w:t>.</w:t>
      </w:r>
    </w:p>
    <w:p>
      <w:pPr>
        <w:pStyle w:val="Compact"/>
        <w:numPr>
          <w:ilvl w:val="0"/>
          <w:numId w:val="321"/>
        </w:numPr>
        <w:rPr/>
      </w:pPr>
      <w:r>
        <w:rPr/>
        <w:t xml:space="preserve">Onglet </w:t>
      </w:r>
      <w:r>
        <w:rPr>
          <w:i/>
          <w:iCs/>
        </w:rPr>
        <w:t>Gestion des Bourses</w:t>
      </w:r>
      <w:r>
        <w:rPr/>
        <w:t xml:space="preserve"> → </w:t>
      </w:r>
      <w:r>
        <w:rPr>
          <w:b/>
          <w:bCs/>
        </w:rPr>
        <w:t>Créer une Bourse</w:t>
      </w:r>
      <w:r>
        <w:rPr/>
        <w:t>.</w:t>
      </w:r>
    </w:p>
    <w:p>
      <w:pPr>
        <w:pStyle w:val="Compact"/>
        <w:numPr>
          <w:ilvl w:val="0"/>
          <w:numId w:val="322"/>
        </w:numPr>
        <w:rPr/>
      </w:pPr>
      <w:r>
        <w:rPr/>
        <w:t xml:space="preserve">Remplissez « Code Bourse » (ex. </w:t>
      </w:r>
      <w:r>
        <w:rPr>
          <w:rStyle w:val="VerbatimChar"/>
        </w:rPr>
        <w:t>EXCEL-2026</w:t>
      </w:r>
      <w:r>
        <w:rPr/>
        <w:t>), « Description / Motif » et « Montant de la bourse (FCFA) ».</w:t>
      </w:r>
    </w:p>
    <w:p>
      <w:pPr>
        <w:pStyle w:val="Compact"/>
        <w:numPr>
          <w:ilvl w:val="0"/>
          <w:numId w:val="323"/>
        </w:numPr>
        <w:rPr/>
      </w:pPr>
      <w:r>
        <w:rPr/>
        <w:t xml:space="preserve">Enregistrez. La bourse apparaît comme </w:t>
      </w:r>
      <w:r>
        <w:rPr>
          <w:b/>
          <w:bCs/>
        </w:rPr>
        <w:t>Disponible</w:t>
      </w:r>
      <w:r>
        <w:rPr/>
        <w:t>.</w:t>
      </w:r>
    </w:p>
    <w:p>
      <w:pPr>
        <w:pStyle w:val="FirstParagraph"/>
        <w:rPr/>
      </w:pPr>
      <w:r>
        <w:rPr/>
        <w:t xml:space="preserve">Le code est saisi lors de l’approbation de la préinscription du bénéficiaire. La bourse passe alors à </w:t>
      </w:r>
      <w:r>
        <w:rPr>
          <w:b/>
          <w:bCs/>
        </w:rPr>
        <w:t>Utilisée</w:t>
      </w:r>
      <w:r>
        <w:rPr/>
        <w:t xml:space="preserve"> : </w:t>
      </w:r>
      <w:r>
        <w:rPr>
          <w:b/>
          <w:bCs/>
        </w:rPr>
        <w:t>un code ne sert qu’une seule fois</w:t>
      </w:r>
      <w:r>
        <w:rPr/>
        <w:t>.</w:t>
      </w:r>
      <w:bookmarkEnd w:id="189"/>
    </w:p>
    <w:p>
      <w:pPr>
        <w:pStyle w:val="Heading3"/>
        <w:rPr/>
      </w:pPr>
      <w:bookmarkStart w:id="190" w:name="réinscrire-un-ancien-étudiant"/>
      <w:r>
        <w:rPr/>
        <w:t>Réinscrire un ancien étudiant</w:t>
      </w:r>
    </w:p>
    <w:p>
      <w:pPr>
        <w:pStyle w:val="Normal"/>
        <w:jc w:val="center"/>
        <w:rPr/>
      </w:pPr>
      <w:r>
        <w:rPr/>
        <w:drawing>
          <wp:inline distT="0" distB="0" distL="0" distR="0">
            <wp:extent cx="5334000" cy="3333750"/>
            <wp:effectExtent l="0" t="0" r="0" b="0"/>
            <wp:docPr id="55" name="Image55" descr="La fenêtre « Créer une in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55" descr="La fenêtre « Créer une inscription »"/>
                    <pic:cNvPicPr>
                      <a:picLocks noChangeAspect="1" noChangeArrowheads="1"/>
                    </pic:cNvPicPr>
                  </pic:nvPicPr>
                  <pic:blipFill>
                    <a:blip r:embed="rId56"/>
                    <a:stretch>
                      <a:fillRect/>
                    </a:stretch>
                  </pic:blipFill>
                  <pic:spPr bwMode="auto">
                    <a:xfrm>
                      <a:off x="0" y="0"/>
                      <a:ext cx="5334000" cy="3333750"/>
                    </a:xfrm>
                    <a:prstGeom prst="rect">
                      <a:avLst/>
                    </a:prstGeom>
                  </pic:spPr>
                </pic:pic>
              </a:graphicData>
            </a:graphic>
          </wp:inline>
        </w:drawing>
      </w:r>
    </w:p>
    <w:p>
      <w:pPr>
        <w:pStyle w:val="ImageCaption"/>
        <w:rPr/>
      </w:pPr>
      <w:r>
        <w:rPr/>
        <w:t>La fenêtre « Créer une inscription »</w:t>
      </w:r>
    </w:p>
    <w:p>
      <w:pPr>
        <w:pStyle w:val="BodyText"/>
        <w:rPr/>
      </w:pPr>
      <w:r>
        <w:rPr/>
        <w:t>Pour un étudiant qui passe en année supérieure (nouvelle année académique) :</w:t>
      </w:r>
    </w:p>
    <w:p>
      <w:pPr>
        <w:pStyle w:val="Compact"/>
        <w:numPr>
          <w:ilvl w:val="0"/>
          <w:numId w:val="324"/>
        </w:numPr>
        <w:rPr/>
      </w:pPr>
      <w:r>
        <w:rPr/>
        <w:t xml:space="preserve">Onglet </w:t>
      </w:r>
      <w:r>
        <w:rPr>
          <w:i/>
          <w:iCs/>
        </w:rPr>
        <w:t>Suivi des paiements</w:t>
      </w:r>
      <w:r>
        <w:rPr/>
        <w:t xml:space="preserve"> → </w:t>
      </w:r>
      <w:r>
        <w:rPr>
          <w:b/>
          <w:bCs/>
        </w:rPr>
        <w:t>Nouvelle inscription</w:t>
      </w:r>
      <w:r>
        <w:rPr/>
        <w:t>.</w:t>
      </w:r>
    </w:p>
    <w:p>
      <w:pPr>
        <w:pStyle w:val="Compact"/>
        <w:numPr>
          <w:ilvl w:val="0"/>
          <w:numId w:val="325"/>
        </w:numPr>
        <w:rPr/>
      </w:pPr>
      <w:r>
        <w:rPr/>
        <w:t>Dans « Créer une inscription », choisissez l’« Étudiant », le « Niveau » et l’« Année académique ».</w:t>
      </w:r>
    </w:p>
    <w:p>
      <w:pPr>
        <w:pStyle w:val="Compact"/>
        <w:numPr>
          <w:ilvl w:val="0"/>
          <w:numId w:val="326"/>
        </w:numPr>
        <w:rPr/>
      </w:pPr>
      <w:bookmarkStart w:id="191" w:name="administration-scolarité-et-paiements"/>
      <w:bookmarkStart w:id="192" w:name="réinscrire-un-ancien-étudiant"/>
      <w:r>
        <w:rPr/>
        <w:t>Enregistrez. L’étudiant est rattaché à sa nouvelle classe et les frais de celle-ci s’appliquent.</w:t>
      </w:r>
      <w:bookmarkEnd w:id="191"/>
      <w:bookmarkEnd w:id="192"/>
    </w:p>
    <w:p>
      <w:pPr>
        <w:pStyle w:val="Heading2"/>
        <w:rPr/>
      </w:pPr>
      <w:bookmarkStart w:id="193" w:name="__RefHeading___Toc15174_1458957718"/>
      <w:bookmarkStart w:id="194" w:name="X6695425afe59d659971ee31e8dac52b1d380abc"/>
      <w:bookmarkEnd w:id="193"/>
      <w:r>
        <w:rPr/>
        <w:t>Administration — Aperçu financier (revenus et dépenses)</w:t>
      </w:r>
    </w:p>
    <w:p>
      <w:pPr>
        <w:pStyle w:val="FirstParagraph"/>
        <w:rPr/>
      </w:pPr>
      <w:r>
        <w:rPr>
          <w:b/>
          <w:bCs/>
        </w:rPr>
        <w:t>Menu :</w:t>
      </w:r>
      <w:r>
        <w:rPr/>
        <w:t xml:space="preserve"> Finances → Aperçu global — </w:t>
      </w:r>
      <w:r>
        <w:rPr>
          <w:b/>
          <w:bCs/>
        </w:rPr>
        <w:t>Accès :</w:t>
      </w:r>
      <w:r>
        <w:rPr/>
        <w:t xml:space="preserve"> domaine </w:t>
      </w:r>
      <w:r>
        <w:rPr>
          <w:i/>
          <w:iCs/>
        </w:rPr>
        <w:t>Finances</w:t>
      </w:r>
      <w:r>
        <w:rPr/>
        <w:t>.</w:t>
      </w:r>
    </w:p>
    <w:p>
      <w:pPr>
        <w:pStyle w:val="BodyText"/>
        <w:rPr/>
      </w:pPr>
      <w:r>
        <w:rPr/>
        <w:t xml:space="preserve">La page « Aperçu Financier Global » donne la situation de trésorerie et permet d’enregistrer les </w:t>
      </w:r>
      <w:r>
        <w:rPr>
          <w:b/>
          <w:bCs/>
        </w:rPr>
        <w:t>autres revenus</w:t>
      </w:r>
      <w:r>
        <w:rPr/>
        <w:t xml:space="preserve"> et les </w:t>
      </w:r>
      <w:r>
        <w:rPr>
          <w:b/>
          <w:bCs/>
        </w:rPr>
        <w:t>dépenses</w:t>
      </w:r>
      <w:r>
        <w:rPr/>
        <w:t xml:space="preserve"> de l’établissement. Trois onglets : </w:t>
      </w:r>
      <w:r>
        <w:rPr>
          <w:i/>
          <w:iCs/>
        </w:rPr>
        <w:t>Tableau de bord</w:t>
      </w:r>
      <w:r>
        <w:rPr/>
        <w:t xml:space="preserve">, </w:t>
      </w:r>
      <w:r>
        <w:rPr>
          <w:i/>
          <w:iCs/>
        </w:rPr>
        <w:t>Revenus</w:t>
      </w:r>
      <w:r>
        <w:rPr/>
        <w:t xml:space="preserve">, </w:t>
      </w:r>
      <w:r>
        <w:rPr>
          <w:i/>
          <w:iCs/>
        </w:rPr>
        <w:t>Dépenses</w:t>
      </w:r>
      <w:r>
        <w:rPr/>
        <w:t>.</w:t>
      </w:r>
    </w:p>
    <w:p>
      <w:pPr>
        <w:pStyle w:val="Heading3"/>
        <w:rPr/>
      </w:pPr>
      <w:bookmarkStart w:id="195" w:name="onglet-tableau-de-bord"/>
      <w:r>
        <w:rPr/>
        <w:t xml:space="preserve">Onglet </w:t>
      </w:r>
      <w:r>
        <w:rPr>
          <w:i/>
          <w:iCs/>
        </w:rPr>
        <w:t>Tableau de bord</w:t>
      </w:r>
    </w:p>
    <w:p>
      <w:pPr>
        <w:pStyle w:val="Normal"/>
        <w:jc w:val="center"/>
        <w:rPr/>
      </w:pPr>
      <w:r>
        <w:rPr/>
        <w:drawing>
          <wp:inline distT="0" distB="0" distL="0" distR="0">
            <wp:extent cx="5334000" cy="3333750"/>
            <wp:effectExtent l="0" t="0" r="0" b="0"/>
            <wp:docPr id="56" name="Image56" descr="L’aperçu financier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56" descr="L’aperçu financier global"/>
                    <pic:cNvPicPr>
                      <a:picLocks noChangeAspect="1" noChangeArrowheads="1"/>
                    </pic:cNvPicPr>
                  </pic:nvPicPr>
                  <pic:blipFill>
                    <a:blip r:embed="rId57"/>
                    <a:stretch>
                      <a:fillRect/>
                    </a:stretch>
                  </pic:blipFill>
                  <pic:spPr bwMode="auto">
                    <a:xfrm>
                      <a:off x="0" y="0"/>
                      <a:ext cx="5334000" cy="3333750"/>
                    </a:xfrm>
                    <a:prstGeom prst="rect">
                      <a:avLst/>
                    </a:prstGeom>
                  </pic:spPr>
                </pic:pic>
              </a:graphicData>
            </a:graphic>
          </wp:inline>
        </w:drawing>
      </w:r>
    </w:p>
    <w:p>
      <w:pPr>
        <w:pStyle w:val="ImageCaption"/>
        <w:rPr/>
      </w:pPr>
      <w:r>
        <w:rPr/>
        <w:t>L’aperçu financier global</w:t>
      </w:r>
    </w:p>
    <w:p>
      <w:pPr>
        <w:pStyle w:val="Compact"/>
        <w:numPr>
          <w:ilvl w:val="0"/>
          <w:numId w:val="327"/>
        </w:numPr>
        <w:rPr/>
      </w:pPr>
      <w:r>
        <w:rPr/>
        <w:t>Totaux des revenus, des dépenses et solde (en vert si positif, en rouge si négatif).</w:t>
      </w:r>
    </w:p>
    <w:p>
      <w:pPr>
        <w:pStyle w:val="Compact"/>
        <w:numPr>
          <w:ilvl w:val="0"/>
          <w:numId w:val="328"/>
        </w:numPr>
        <w:rPr/>
      </w:pPr>
      <w:r>
        <w:rPr/>
        <w:t>« Paie proche » : rappel des montants de paie à venir.</w:t>
      </w:r>
    </w:p>
    <w:p>
      <w:pPr>
        <w:pStyle w:val="Compact"/>
        <w:numPr>
          <w:ilvl w:val="0"/>
          <w:numId w:val="329"/>
        </w:numPr>
        <w:rPr/>
      </w:pPr>
      <w:r>
        <w:rPr/>
        <w:t>Historique des paies par mois (Mois, Brut, Net, Primes, Retenues).</w:t>
      </w:r>
    </w:p>
    <w:p>
      <w:pPr>
        <w:pStyle w:val="Compact"/>
        <w:numPr>
          <w:ilvl w:val="0"/>
          <w:numId w:val="330"/>
        </w:numPr>
        <w:rPr/>
      </w:pPr>
      <w:r>
        <w:rPr/>
        <w:t>Paiements de scolarité par mois (Nombre de paiements, Montant total).</w:t>
      </w:r>
    </w:p>
    <w:p>
      <w:pPr>
        <w:pStyle w:val="Compact"/>
        <w:numPr>
          <w:ilvl w:val="0"/>
          <w:numId w:val="331"/>
        </w:numPr>
        <w:rPr/>
      </w:pPr>
      <w:bookmarkStart w:id="196" w:name="onglet-tableau-de-bord"/>
      <w:r>
        <w:rPr/>
        <w:t>« Dernières transactions ».</w:t>
      </w:r>
      <w:bookmarkEnd w:id="196"/>
    </w:p>
    <w:p>
      <w:pPr>
        <w:pStyle w:val="Heading3"/>
        <w:rPr/>
      </w:pPr>
      <w:bookmarkStart w:id="197" w:name="enregistrer-un-revenu"/>
      <w:r>
        <w:rPr/>
        <w:t>Enregistrer un revenu</w:t>
      </w:r>
    </w:p>
    <w:p>
      <w:pPr>
        <w:pStyle w:val="Normal"/>
        <w:jc w:val="center"/>
        <w:rPr/>
      </w:pPr>
      <w:r>
        <w:rPr/>
        <w:drawing>
          <wp:inline distT="0" distB="0" distL="0" distR="0">
            <wp:extent cx="5334000" cy="3333750"/>
            <wp:effectExtent l="0" t="0" r="0" b="0"/>
            <wp:docPr id="57" name="Image57" descr="L’onglet Reve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57" descr="L’onglet Revenus"/>
                    <pic:cNvPicPr>
                      <a:picLocks noChangeAspect="1" noChangeArrowheads="1"/>
                    </pic:cNvPicPr>
                  </pic:nvPicPr>
                  <pic:blipFill>
                    <a:blip r:embed="rId58"/>
                    <a:stretch>
                      <a:fillRect/>
                    </a:stretch>
                  </pic:blipFill>
                  <pic:spPr bwMode="auto">
                    <a:xfrm>
                      <a:off x="0" y="0"/>
                      <a:ext cx="5334000" cy="3333750"/>
                    </a:xfrm>
                    <a:prstGeom prst="rect">
                      <a:avLst/>
                    </a:prstGeom>
                  </pic:spPr>
                </pic:pic>
              </a:graphicData>
            </a:graphic>
          </wp:inline>
        </w:drawing>
      </w:r>
    </w:p>
    <w:p>
      <w:pPr>
        <w:pStyle w:val="ImageCaption"/>
        <w:rPr/>
      </w:pPr>
      <w:r>
        <w:rPr/>
        <w:t>L’onglet Revenus</w:t>
      </w:r>
    </w:p>
    <w:p>
      <w:pPr>
        <w:pStyle w:val="BodyText"/>
        <w:rPr/>
      </w:pPr>
      <w:r>
        <w:rPr/>
        <w:t xml:space="preserve">Pour une entrée d’argent qui </w:t>
      </w:r>
      <w:r>
        <w:rPr>
          <w:b/>
          <w:bCs/>
        </w:rPr>
        <w:t>n’est pas</w:t>
      </w:r>
      <w:r>
        <w:rPr/>
        <w:t xml:space="preserve"> un paiement de scolarité (subvention, location de salle, prestation…). Les paiements des étudiants se saisissent dans Scolarité.</w:t>
      </w:r>
    </w:p>
    <w:p>
      <w:pPr>
        <w:pStyle w:val="Compact"/>
        <w:numPr>
          <w:ilvl w:val="0"/>
          <w:numId w:val="332"/>
        </w:numPr>
        <w:rPr/>
      </w:pPr>
      <w:r>
        <w:rPr/>
        <w:t xml:space="preserve">Onglet </w:t>
      </w:r>
      <w:r>
        <w:rPr>
          <w:i/>
          <w:iCs/>
        </w:rPr>
        <w:t>Revenus</w:t>
      </w:r>
      <w:r>
        <w:rPr/>
        <w:t xml:space="preserve"> → </w:t>
      </w:r>
      <w:r>
        <w:rPr>
          <w:b/>
          <w:bCs/>
        </w:rPr>
        <w:t>Ajouter un revenu</w:t>
      </w:r>
      <w:r>
        <w:rPr/>
        <w:t>.</w:t>
      </w:r>
    </w:p>
    <w:p>
      <w:pPr>
        <w:pStyle w:val="Compact"/>
        <w:numPr>
          <w:ilvl w:val="0"/>
          <w:numId w:val="333"/>
        </w:numPr>
        <w:rPr/>
      </w:pPr>
      <w:r>
        <w:rPr/>
        <w:t>Renseignez « Libellé », « Montant (FCFA) », « Date », « Catégorie » et éventuellement « Statut » / « Responsable ».</w:t>
      </w:r>
    </w:p>
    <w:p>
      <w:pPr>
        <w:pStyle w:val="Compact"/>
        <w:numPr>
          <w:ilvl w:val="0"/>
          <w:numId w:val="334"/>
        </w:numPr>
        <w:rPr/>
      </w:pPr>
      <w:bookmarkStart w:id="198" w:name="enregistrer-un-revenu"/>
      <w:r>
        <w:rPr/>
        <w:t>Enregistrez.</w:t>
      </w:r>
      <w:bookmarkEnd w:id="198"/>
    </w:p>
    <w:p>
      <w:pPr>
        <w:pStyle w:val="Heading3"/>
        <w:rPr/>
      </w:pPr>
      <w:bookmarkStart w:id="199" w:name="enregistrer-une-dépense"/>
      <w:r>
        <w:rPr/>
        <w:t>Enregistrer une dépense</w:t>
      </w:r>
    </w:p>
    <w:p>
      <w:pPr>
        <w:pStyle w:val="Normal"/>
        <w:jc w:val="center"/>
        <w:rPr/>
      </w:pPr>
      <w:r>
        <w:rPr/>
        <w:drawing>
          <wp:inline distT="0" distB="0" distL="0" distR="0">
            <wp:extent cx="5334000" cy="3333750"/>
            <wp:effectExtent l="0" t="0" r="0" b="0"/>
            <wp:docPr id="58" name="Image58" descr="L’onglet Dépenses (les salaires payés y figurent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58" descr="L’onglet Dépenses (les salaires payés y figurent automatiquement)"/>
                    <pic:cNvPicPr>
                      <a:picLocks noChangeAspect="1" noChangeArrowheads="1"/>
                    </pic:cNvPicPr>
                  </pic:nvPicPr>
                  <pic:blipFill>
                    <a:blip r:embed="rId59"/>
                    <a:stretch>
                      <a:fillRect/>
                    </a:stretch>
                  </pic:blipFill>
                  <pic:spPr bwMode="auto">
                    <a:xfrm>
                      <a:off x="0" y="0"/>
                      <a:ext cx="5334000" cy="3333750"/>
                    </a:xfrm>
                    <a:prstGeom prst="rect">
                      <a:avLst/>
                    </a:prstGeom>
                  </pic:spPr>
                </pic:pic>
              </a:graphicData>
            </a:graphic>
          </wp:inline>
        </w:drawing>
      </w:r>
    </w:p>
    <w:p>
      <w:pPr>
        <w:pStyle w:val="ImageCaption"/>
        <w:rPr/>
      </w:pPr>
      <w:r>
        <w:rPr/>
        <w:t>L’onglet Dépenses (les salaires payés y figurent automatiquement)</w:t>
      </w:r>
    </w:p>
    <w:p>
      <w:pPr>
        <w:pStyle w:val="Compact"/>
        <w:numPr>
          <w:ilvl w:val="0"/>
          <w:numId w:val="335"/>
        </w:numPr>
        <w:rPr/>
      </w:pPr>
      <w:r>
        <w:rPr/>
        <w:t xml:space="preserve">Onglet </w:t>
      </w:r>
      <w:r>
        <w:rPr>
          <w:i/>
          <w:iCs/>
        </w:rPr>
        <w:t>Dépenses</w:t>
      </w:r>
      <w:r>
        <w:rPr/>
        <w:t xml:space="preserve"> → </w:t>
      </w:r>
      <w:r>
        <w:rPr>
          <w:b/>
          <w:bCs/>
        </w:rPr>
        <w:t>Ajouter une dépense</w:t>
      </w:r>
      <w:r>
        <w:rPr/>
        <w:t>.</w:t>
      </w:r>
    </w:p>
    <w:p>
      <w:pPr>
        <w:pStyle w:val="Compact"/>
        <w:numPr>
          <w:ilvl w:val="0"/>
          <w:numId w:val="336"/>
        </w:numPr>
        <w:rPr/>
      </w:pPr>
      <w:r>
        <w:rPr/>
        <w:t>Renseignez « Libellé », « Montant (FCFA) », « Date », « Catégorie », « Statut », « Responsable ».</w:t>
      </w:r>
    </w:p>
    <w:p>
      <w:pPr>
        <w:pStyle w:val="Compact"/>
        <w:numPr>
          <w:ilvl w:val="0"/>
          <w:numId w:val="337"/>
        </w:numPr>
        <w:rPr/>
      </w:pPr>
      <w:r>
        <w:rPr/>
        <w:t>Enregistrez.</w:t>
      </w:r>
    </w:p>
    <w:p>
      <w:pPr>
        <w:pStyle w:val="EncadreInfo"/>
        <w:rPr/>
      </w:pPr>
      <w:r>
        <w:rPr>
          <w:b/>
          <w:bCs/>
        </w:rPr>
        <w:t>Dépenses automatiques</w:t>
      </w:r>
    </w:p>
    <w:p>
      <w:pPr>
        <w:pStyle w:val="EncadreInfo"/>
        <w:rPr/>
      </w:pPr>
      <w:r>
        <w:rPr/>
        <w:t xml:space="preserve">Le paiement d’une campagne de paie crée </w:t>
      </w:r>
      <w:r>
        <w:rPr>
          <w:b/>
          <w:bCs/>
        </w:rPr>
        <w:t>automatiquement</w:t>
      </w:r>
      <w:r>
        <w:rPr/>
        <w:t xml:space="preserve"> une dépense par bulletin. Ne les saisissez pas une seconde fois à la main.</w:t>
      </w:r>
    </w:p>
    <w:p>
      <w:pPr>
        <w:pStyle w:val="Normal"/>
        <w:spacing w:before="0" w:after="60"/>
        <w:rPr>
          <w:sz w:val="8"/>
        </w:rPr>
      </w:pPr>
      <w:r>
        <w:rPr>
          <w:sz w:val="8"/>
        </w:rPr>
      </w:r>
    </w:p>
    <w:p>
      <w:pPr>
        <w:pStyle w:val="BodyText"/>
        <w:rPr/>
      </w:pPr>
      <w:bookmarkStart w:id="200" w:name="X6695425afe59d659971ee31e8dac52b1d380abc"/>
      <w:bookmarkStart w:id="201" w:name="enregistrer-une-dépense"/>
      <w:r>
        <w:rPr/>
        <w:t>Le crayon modifie, la corbeille supprime (fenêtre « Confirmer la suppression »).</w:t>
      </w:r>
      <w:bookmarkEnd w:id="200"/>
      <w:bookmarkEnd w:id="201"/>
    </w:p>
    <w:p>
      <w:pPr>
        <w:pStyle w:val="Heading2"/>
        <w:rPr/>
      </w:pPr>
      <w:bookmarkStart w:id="202" w:name="__RefHeading___Toc15176_1458957718"/>
      <w:bookmarkStart w:id="203" w:name="X669d6b4674a1e1b2600361a31dc50c9bfce7b9b"/>
      <w:bookmarkEnd w:id="202"/>
      <w:r>
        <w:rPr/>
        <w:t>Administration — Salaires (personnel et formateurs)</w:t>
      </w:r>
    </w:p>
    <w:p>
      <w:pPr>
        <w:pStyle w:val="FirstParagraph"/>
        <w:rPr/>
      </w:pPr>
      <w:r>
        <w:rPr>
          <w:b/>
          <w:bCs/>
        </w:rPr>
        <w:t>Menus :</w:t>
      </w:r>
      <w:r>
        <w:rPr/>
        <w:t xml:space="preserve"> Finances → Salaires Personnel, et Finances → Salaires Formateurs — </w:t>
      </w:r>
      <w:r>
        <w:rPr>
          <w:b/>
          <w:bCs/>
        </w:rPr>
        <w:t>Accès :</w:t>
      </w:r>
      <w:r>
        <w:rPr/>
        <w:t xml:space="preserve"> domaine </w:t>
      </w:r>
      <w:r>
        <w:rPr>
          <w:i/>
          <w:iCs/>
        </w:rPr>
        <w:t>Finances</w:t>
      </w:r>
      <w:r>
        <w:rPr/>
        <w:t>.</w:t>
      </w:r>
    </w:p>
    <w:p>
      <w:pPr>
        <w:pStyle w:val="BodyText"/>
        <w:rPr/>
      </w:pPr>
      <w:r>
        <w:rPr/>
        <w:t xml:space="preserve">Les deux pages fonctionnent de la même façon. Seule différence : la page </w:t>
      </w:r>
      <w:r>
        <w:rPr>
          <w:b/>
          <w:bCs/>
        </w:rPr>
        <w:t>Formateurs</w:t>
      </w:r>
      <w:r>
        <w:rPr/>
        <w:t xml:space="preserve"> gère en plus les </w:t>
      </w:r>
      <w:r>
        <w:rPr>
          <w:b/>
          <w:bCs/>
        </w:rPr>
        <w:t>heures des vacataires</w:t>
      </w:r>
      <w:r>
        <w:rPr/>
        <w:t>.</w:t>
      </w:r>
    </w:p>
    <w:p>
      <w:pPr>
        <w:pStyle w:val="BodyText"/>
        <w:rPr/>
      </w:pPr>
      <w:r>
        <w:rPr/>
        <w:t xml:space="preserve">Chaque page comporte six onglets : </w:t>
      </w:r>
      <w:r>
        <w:rPr>
          <w:i/>
          <w:iCs/>
        </w:rPr>
        <w:t>Campagnes de paie</w:t>
      </w:r>
      <w:r>
        <w:rPr/>
        <w:t xml:space="preserve">, </w:t>
      </w:r>
      <w:r>
        <w:rPr>
          <w:i/>
          <w:iCs/>
        </w:rPr>
        <w:t>Primes &amp; Indemnités</w:t>
      </w:r>
      <w:r>
        <w:rPr/>
        <w:t xml:space="preserve">, </w:t>
      </w:r>
      <w:r>
        <w:rPr>
          <w:i/>
          <w:iCs/>
        </w:rPr>
        <w:t>Retenues</w:t>
      </w:r>
      <w:r>
        <w:rPr/>
        <w:t xml:space="preserve">, </w:t>
      </w:r>
      <w:r>
        <w:rPr>
          <w:i/>
          <w:iCs/>
        </w:rPr>
        <w:t>Avances sur salaire</w:t>
      </w:r>
      <w:r>
        <w:rPr/>
        <w:t xml:space="preserve">, </w:t>
      </w:r>
      <w:r>
        <w:rPr>
          <w:i/>
          <w:iCs/>
        </w:rPr>
        <w:t>Bulletins</w:t>
      </w:r>
      <w:r>
        <w:rPr/>
        <w:t xml:space="preserve">, </w:t>
      </w:r>
      <w:r>
        <w:rPr>
          <w:i/>
          <w:iCs/>
        </w:rPr>
        <w:t>Statistiques</w:t>
      </w:r>
      <w:r>
        <w:rPr/>
        <w:t>.</w:t>
      </w:r>
    </w:p>
    <w:p>
      <w:pPr>
        <w:pStyle w:val="Heading3"/>
        <w:rPr/>
      </w:pPr>
      <w:bookmarkStart w:id="204" w:name="le-principe"/>
      <w:bookmarkEnd w:id="204"/>
      <w:r>
        <w:rPr/>
        <w:t>Le principe</w:t>
      </w:r>
    </w:p>
    <w:p>
      <w:pPr>
        <w:pStyle w:val="Normal"/>
        <w:jc w:val="center"/>
        <w:rPr/>
      </w:pPr>
      <w:r>
        <w:rPr/>
        <w:drawing>
          <wp:inline distT="0" distB="0" distL="0" distR="0">
            <wp:extent cx="5334000" cy="3333750"/>
            <wp:effectExtent l="0" t="0" r="0" b="0"/>
            <wp:docPr id="59" name="Image59" descr="Salaires du personnel : l’onglet Campagnes de pa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59" descr="Salaires du personnel : l’onglet Campagnes de paie"/>
                    <pic:cNvPicPr>
                      <a:picLocks noChangeAspect="1" noChangeArrowheads="1"/>
                    </pic:cNvPicPr>
                  </pic:nvPicPr>
                  <pic:blipFill>
                    <a:blip r:embed="rId60"/>
                    <a:stretch>
                      <a:fillRect/>
                    </a:stretch>
                  </pic:blipFill>
                  <pic:spPr bwMode="auto">
                    <a:xfrm>
                      <a:off x="0" y="0"/>
                      <a:ext cx="5334000" cy="3333750"/>
                    </a:xfrm>
                    <a:prstGeom prst="rect">
                      <a:avLst/>
                    </a:prstGeom>
                  </pic:spPr>
                </pic:pic>
              </a:graphicData>
            </a:graphic>
          </wp:inline>
        </w:drawing>
      </w:r>
    </w:p>
    <w:p>
      <w:pPr>
        <w:pStyle w:val="ImageCaption"/>
        <w:rPr/>
      </w:pPr>
      <w:r>
        <w:rPr/>
        <w:t>Salaires du personnel : l’onglet Campagnes de paie</w:t>
      </w:r>
    </w:p>
    <w:p>
      <w:pPr>
        <w:pStyle w:val="BodyText"/>
        <w:rPr/>
      </w:pPr>
      <w:r>
        <w:rPr/>
        <w:t xml:space="preserve">Chaque mois, on </w:t>
      </w:r>
      <w:r>
        <w:rPr>
          <w:b/>
          <w:bCs/>
        </w:rPr>
        <w:t>génère une campagne de paie</w:t>
      </w:r>
      <w:r>
        <w:rPr/>
        <w:t xml:space="preserve"> : SmartCampus crée un </w:t>
      </w:r>
      <w:r>
        <w:rPr>
          <w:b/>
          <w:bCs/>
        </w:rPr>
        <w:t>bulletin</w:t>
      </w:r>
      <w:r>
        <w:rPr/>
        <w:t xml:space="preserve"> par bénéficiaire, avec :</w:t>
      </w:r>
    </w:p>
    <w:p>
      <w:pPr>
        <w:pStyle w:val="SourceCode"/>
        <w:rPr/>
      </w:pPr>
      <w:r>
        <w:rPr>
          <w:rStyle w:val="VerbatimChar"/>
        </w:rPr>
        <w:t>Salaire net = Salaire de base + Primes − Retenues − Échéance d'avance du mois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769"/>
        <w:gridCol w:w="5868"/>
      </w:tblGrid>
      <w:tr>
        <w:trPr>
          <w:tblHeader w:val="true"/>
          <w:cantSplit w:val="true"/>
        </w:trPr>
        <w:tc>
          <w:tcPr>
            <w:tcW w:w="376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Bénéficiaire</w:t>
            </w:r>
          </w:p>
        </w:tc>
        <w:tc>
          <w:tcPr>
            <w:tcW w:w="586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Salaire de base</w:t>
            </w:r>
          </w:p>
        </w:tc>
      </w:tr>
      <w:tr>
        <w:trPr>
          <w:cantSplit w:val="true"/>
        </w:trPr>
        <w:tc>
          <w:tcPr>
            <w:tcW w:w="376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Membre du personnel</w:t>
            </w:r>
          </w:p>
        </w:tc>
        <w:tc>
          <w:tcPr>
            <w:tcW w:w="586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 Salaire » de sa fiche (</w:t>
            </w:r>
            <w:r>
              <w:rPr>
                <w:rFonts w:eastAsia="Calibri" w:cs="Calibri"/>
                <w:b/>
                <w:bCs/>
                <w:kern w:val="0"/>
                <w:sz w:val="19"/>
                <w:szCs w:val="19"/>
                <w:lang w:val="fr-FR" w:eastAsia="en-US" w:bidi="ar-SA"/>
              </w:rPr>
              <w:t>Personnel</w:t>
            </w:r>
            <w:r>
              <w:rPr>
                <w:rFonts w:eastAsia="Calibri" w:cs="Calibri"/>
                <w:kern w:val="0"/>
                <w:sz w:val="19"/>
                <w:szCs w:val="19"/>
                <w:lang w:val="fr-FR" w:eastAsia="en-US" w:bidi="ar-SA"/>
              </w:rPr>
              <w:t xml:space="preserve"> → Liste du personnel)</w:t>
            </w:r>
          </w:p>
        </w:tc>
      </w:tr>
      <w:tr>
        <w:trPr>
          <w:cantSplit w:val="true"/>
        </w:trPr>
        <w:tc>
          <w:tcPr>
            <w:tcW w:w="376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Formateur permanent</w:t>
            </w:r>
          </w:p>
        </w:tc>
        <w:tc>
          <w:tcPr>
            <w:tcW w:w="586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 Salaire mensuel » de sa fiche</w:t>
            </w:r>
          </w:p>
        </w:tc>
      </w:tr>
      <w:tr>
        <w:trPr>
          <w:cantSplit w:val="true"/>
        </w:trPr>
        <w:tc>
          <w:tcPr>
            <w:tcW w:w="376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Formateur vacataire</w:t>
            </w:r>
          </w:p>
        </w:tc>
        <w:tc>
          <w:tcPr>
            <w:tcW w:w="586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Heures validées du mois × taux horaire (voir Heures des vacataires)</w:t>
            </w:r>
          </w:p>
        </w:tc>
      </w:tr>
    </w:tbl>
    <w:p>
      <w:pPr>
        <w:pStyle w:val="BodyText"/>
        <w:rPr/>
      </w:pPr>
      <w:r>
        <w:rPr/>
        <w:t>La campagne passe ensuite par trois statuts :</w:t>
      </w:r>
    </w:p>
    <w:p>
      <w:pPr>
        <w:pStyle w:val="Normal"/>
        <w:jc w:val="center"/>
        <w:rPr/>
      </w:pPr>
      <w:r>
        <w:rPr/>
        <w:drawing>
          <wp:inline distT="0" distB="0" distL="0" distR="0">
            <wp:extent cx="5334000" cy="741680"/>
            <wp:effectExtent l="0" t="0" r="0" b="0"/>
            <wp:docPr id="60" name="Image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0" descr=""/>
                    <pic:cNvPicPr>
                      <a:picLocks noChangeAspect="1" noChangeArrowheads="1"/>
                    </pic:cNvPicPr>
                  </pic:nvPicPr>
                  <pic:blipFill>
                    <a:blip r:embed="rId61"/>
                    <a:stretch>
                      <a:fillRect/>
                    </a:stretch>
                  </pic:blipFill>
                  <pic:spPr bwMode="auto">
                    <a:xfrm>
                      <a:off x="0" y="0"/>
                      <a:ext cx="5334000" cy="741680"/>
                    </a:xfrm>
                    <a:prstGeom prst="rect">
                      <a:avLst/>
                    </a:prstGeom>
                  </pic:spPr>
                </pic:pic>
              </a:graphicData>
            </a:graphic>
          </wp:inline>
        </w:drawing>
      </w:r>
    </w:p>
    <w:p>
      <w:pPr>
        <w:pStyle w:val="EncadreConseil"/>
        <w:rPr/>
      </w:pPr>
      <w:r>
        <w:rPr>
          <w:b/>
          <w:bCs/>
        </w:rPr>
        <w:t>Calendrier conseillé</w:t>
      </w:r>
    </w:p>
    <w:p>
      <w:pPr>
        <w:pStyle w:val="Compact"/>
        <w:numPr>
          <w:ilvl w:val="0"/>
          <w:numId w:val="338"/>
        </w:numPr>
        <w:rPr/>
      </w:pPr>
      <w:r>
        <w:rPr/>
        <w:t>Entre le 1er et le 25 : saisir les primes, retenues et avances du mois.</w:t>
      </w:r>
    </w:p>
    <w:p>
      <w:pPr>
        <w:pStyle w:val="Compact"/>
        <w:numPr>
          <w:ilvl w:val="0"/>
          <w:numId w:val="339"/>
        </w:numPr>
        <w:rPr/>
      </w:pPr>
      <w:r>
        <w:rPr/>
        <w:t xml:space="preserve">Fin de mois : (formateurs) attendre que les heures des vacataires soient </w:t>
      </w:r>
      <w:r>
        <w:rPr>
          <w:b/>
          <w:bCs/>
        </w:rPr>
        <w:t>validées</w:t>
      </w:r>
      <w:r>
        <w:rPr/>
        <w:t>.</w:t>
      </w:r>
    </w:p>
    <w:p>
      <w:pPr>
        <w:pStyle w:val="Compact"/>
        <w:numPr>
          <w:ilvl w:val="0"/>
          <w:numId w:val="340"/>
        </w:numPr>
        <w:rPr/>
      </w:pPr>
      <w:r>
        <w:rPr/>
        <w:t xml:space="preserve">Générer la campagne, contrôler les bulletins, </w:t>
      </w:r>
      <w:r>
        <w:rPr>
          <w:b/>
          <w:bCs/>
        </w:rPr>
        <w:t>Valider</w:t>
      </w:r>
      <w:r>
        <w:rPr/>
        <w:t xml:space="preserve">, puis </w:t>
      </w:r>
      <w:r>
        <w:rPr>
          <w:b/>
          <w:bCs/>
        </w:rPr>
        <w:t>Marquer comme payée</w:t>
      </w:r>
      <w:r>
        <w:rPr/>
        <w:t xml:space="preserve"> une fois les virements faits.</w:t>
      </w:r>
    </w:p>
    <w:p>
      <w:pPr>
        <w:pStyle w:val="EncadreConseil"/>
        <w:rPr/>
      </w:pPr>
      <w:r>
        <w:rPr/>
        <w:t>L’alerte « Échéance proche ! » rappelle que la date de paie approche.</w:t>
      </w:r>
    </w:p>
    <w:p>
      <w:pPr>
        <w:pStyle w:val="Normal"/>
        <w:spacing w:before="0" w:after="60"/>
        <w:rPr>
          <w:sz w:val="8"/>
        </w:rPr>
      </w:pPr>
      <w:r>
        <w:rPr>
          <w:sz w:val="8"/>
        </w:rPr>
      </w:r>
      <w:bookmarkStart w:id="205" w:name="le-principe"/>
      <w:bookmarkStart w:id="206" w:name="le-principe"/>
      <w:bookmarkEnd w:id="206"/>
    </w:p>
    <w:p>
      <w:pPr>
        <w:pStyle w:val="Heading3"/>
        <w:rPr/>
      </w:pPr>
      <w:bookmarkStart w:id="207" w:name="préparer-primes-retenues-avances"/>
      <w:r>
        <w:rPr/>
        <w:t>1. Préparer : primes, retenues, avances</w:t>
      </w:r>
    </w:p>
    <w:p>
      <w:pPr>
        <w:pStyle w:val="Heading4"/>
        <w:rPr/>
      </w:pPr>
      <w:bookmarkStart w:id="208" w:name="ajouter-une-prime-ou-une-indemnité"/>
      <w:r>
        <w:rPr/>
        <w:t>Ajouter une prime ou une indemnité</w:t>
      </w:r>
    </w:p>
    <w:p>
      <w:pPr>
        <w:pStyle w:val="Normal"/>
        <w:jc w:val="center"/>
        <w:rPr/>
      </w:pPr>
      <w:r>
        <w:rPr/>
        <w:drawing>
          <wp:inline distT="0" distB="0" distL="0" distR="0">
            <wp:extent cx="5334000" cy="3333750"/>
            <wp:effectExtent l="0" t="0" r="0" b="0"/>
            <wp:docPr id="61" name="Image61" descr="L’onglet Primes &amp; Indemni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61" descr="L’onglet Primes &amp; Indemnités"/>
                    <pic:cNvPicPr>
                      <a:picLocks noChangeAspect="1" noChangeArrowheads="1"/>
                    </pic:cNvPicPr>
                  </pic:nvPicPr>
                  <pic:blipFill>
                    <a:blip r:embed="rId62"/>
                    <a:stretch>
                      <a:fillRect/>
                    </a:stretch>
                  </pic:blipFill>
                  <pic:spPr bwMode="auto">
                    <a:xfrm>
                      <a:off x="0" y="0"/>
                      <a:ext cx="5334000" cy="3333750"/>
                    </a:xfrm>
                    <a:prstGeom prst="rect">
                      <a:avLst/>
                    </a:prstGeom>
                  </pic:spPr>
                </pic:pic>
              </a:graphicData>
            </a:graphic>
          </wp:inline>
        </w:drawing>
      </w:r>
    </w:p>
    <w:p>
      <w:pPr>
        <w:pStyle w:val="ImageCaption"/>
        <w:rPr/>
      </w:pPr>
      <w:r>
        <w:rPr/>
        <w:t>L’onglet Primes &amp; Indemnités</w:t>
      </w:r>
    </w:p>
    <w:p>
      <w:pPr>
        <w:pStyle w:val="BodyText"/>
        <w:rPr/>
      </w:pPr>
      <w:r>
        <w:rPr/>
        <w:t xml:space="preserve">Onglet </w:t>
      </w:r>
      <w:r>
        <w:rPr>
          <w:i/>
          <w:iCs/>
        </w:rPr>
        <w:t>Primes &amp; Indemnités</w:t>
      </w:r>
      <w:r>
        <w:rPr/>
        <w:t xml:space="preserve"> → </w:t>
      </w:r>
      <w:r>
        <w:rPr>
          <w:b/>
          <w:bCs/>
        </w:rPr>
        <w:t>Ajouter une prime</w:t>
      </w:r>
      <w:r>
        <w:rPr/>
        <w: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898"/>
        <w:gridCol w:w="6739"/>
      </w:tblGrid>
      <w:tr>
        <w:trPr>
          <w:tblHeader w:val="true"/>
          <w:cantSplit w:val="true"/>
        </w:trPr>
        <w:tc>
          <w:tcPr>
            <w:tcW w:w="289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673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Remarque</w:t>
            </w:r>
          </w:p>
        </w:tc>
      </w:tr>
      <w:tr>
        <w:trPr>
          <w:cantSplit w:val="true"/>
        </w:trPr>
        <w:tc>
          <w:tcPr>
            <w:tcW w:w="28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Bénéficiaire (ou Formateur)</w:t>
            </w:r>
          </w:p>
        </w:tc>
        <w:tc>
          <w:tcPr>
            <w:tcW w:w="67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personne concernée.</w:t>
            </w:r>
          </w:p>
        </w:tc>
      </w:tr>
      <w:tr>
        <w:trPr>
          <w:cantSplit w:val="true"/>
        </w:trPr>
        <w:tc>
          <w:tcPr>
            <w:tcW w:w="28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Type de prime</w:t>
            </w:r>
          </w:p>
        </w:tc>
        <w:tc>
          <w:tcPr>
            <w:tcW w:w="67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Prime de transport, de logement, de rendement, d’ancienneté, de responsabilité, de risque, de panier, Heures supplémentaires, Autre.</w:t>
            </w:r>
          </w:p>
        </w:tc>
      </w:tr>
      <w:tr>
        <w:trPr>
          <w:cantSplit w:val="true"/>
        </w:trPr>
        <w:tc>
          <w:tcPr>
            <w:tcW w:w="28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Montant (FCFA)</w:t>
            </w:r>
          </w:p>
        </w:tc>
        <w:tc>
          <w:tcPr>
            <w:tcW w:w="67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Montant mensuel.</w:t>
            </w:r>
          </w:p>
        </w:tc>
      </w:tr>
      <w:tr>
        <w:trPr>
          <w:cantSplit w:val="true"/>
        </w:trPr>
        <w:tc>
          <w:tcPr>
            <w:tcW w:w="28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Libellé (optionnel)</w:t>
            </w:r>
          </w:p>
        </w:tc>
        <w:tc>
          <w:tcPr>
            <w:tcW w:w="67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Précision affichée sur le bulletin.</w:t>
            </w:r>
          </w:p>
        </w:tc>
      </w:tr>
      <w:tr>
        <w:trPr>
          <w:cantSplit w:val="true"/>
        </w:trPr>
        <w:tc>
          <w:tcPr>
            <w:tcW w:w="28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Permanente</w:t>
            </w:r>
          </w:p>
        </w:tc>
        <w:tc>
          <w:tcPr>
            <w:tcW w:w="67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Coché</w:t>
            </w:r>
            <w:r>
              <w:rPr>
                <w:rFonts w:eastAsia="Calibri" w:cs="Calibri"/>
                <w:kern w:val="0"/>
                <w:sz w:val="19"/>
                <w:szCs w:val="19"/>
                <w:lang w:val="fr-FR" w:eastAsia="en-US" w:bidi="ar-SA"/>
              </w:rPr>
              <w:t xml:space="preserve"> : appliquée </w:t>
            </w:r>
            <w:r>
              <w:rPr>
                <w:rFonts w:eastAsia="Calibri" w:cs="Calibri"/>
                <w:b/>
                <w:bCs/>
                <w:kern w:val="0"/>
                <w:sz w:val="19"/>
                <w:szCs w:val="19"/>
                <w:lang w:val="fr-FR" w:eastAsia="en-US" w:bidi="ar-SA"/>
              </w:rPr>
              <w:t>chaque mois</w:t>
            </w:r>
            <w:r>
              <w:rPr>
                <w:rFonts w:eastAsia="Calibri" w:cs="Calibri"/>
                <w:kern w:val="0"/>
                <w:sz w:val="19"/>
                <w:szCs w:val="19"/>
                <w:lang w:val="fr-FR" w:eastAsia="en-US" w:bidi="ar-SA"/>
              </w:rPr>
              <w:t xml:space="preserve"> automatiquement. </w:t>
            </w:r>
            <w:r>
              <w:rPr>
                <w:rFonts w:eastAsia="Calibri" w:cs="Calibri"/>
                <w:b/>
                <w:bCs/>
                <w:kern w:val="0"/>
                <w:sz w:val="19"/>
                <w:szCs w:val="19"/>
                <w:lang w:val="fr-FR" w:eastAsia="en-US" w:bidi="ar-SA"/>
              </w:rPr>
              <w:t>Décoché</w:t>
            </w:r>
            <w:r>
              <w:rPr>
                <w:rFonts w:eastAsia="Calibri" w:cs="Calibri"/>
                <w:kern w:val="0"/>
                <w:sz w:val="19"/>
                <w:szCs w:val="19"/>
                <w:lang w:val="fr-FR" w:eastAsia="en-US" w:bidi="ar-SA"/>
              </w:rPr>
              <w:t xml:space="preserve"> : prime ponctuelle, appliquée seulement entre la « Date début » et la « Date fin ».</w:t>
            </w:r>
          </w:p>
        </w:tc>
      </w:tr>
      <w:tr>
        <w:trPr>
          <w:cantSplit w:val="true"/>
        </w:trPr>
        <w:tc>
          <w:tcPr>
            <w:tcW w:w="28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Active</w:t>
            </w:r>
          </w:p>
        </w:tc>
        <w:tc>
          <w:tcPr>
            <w:tcW w:w="67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Décochez pour suspendre la prime sans la supprimer.</w:t>
            </w:r>
          </w:p>
        </w:tc>
      </w:tr>
    </w:tbl>
    <w:p>
      <w:pPr>
        <w:pStyle w:val="BodyText"/>
        <w:rPr/>
      </w:pPr>
      <w:bookmarkStart w:id="209" w:name="ajouter-une-prime-ou-une-indemnité"/>
      <w:r>
        <w:rPr/>
        <w:t>Exemple : une prime de rendement exceptionnelle de 15 000 FCFA pour juillet → Permanente décoché, Date début 01/07, Date fin 31/07. Elle apparaîtra sur le bulletin de juillet et pas sur celui d’août.</w:t>
      </w:r>
      <w:bookmarkEnd w:id="209"/>
    </w:p>
    <w:p>
      <w:pPr>
        <w:pStyle w:val="Heading4"/>
        <w:rPr/>
      </w:pPr>
      <w:bookmarkStart w:id="210" w:name="ajouter-une-retenue"/>
      <w:r>
        <w:rPr/>
        <w:t>Ajouter une retenue</w:t>
      </w:r>
    </w:p>
    <w:p>
      <w:pPr>
        <w:pStyle w:val="Normal"/>
        <w:jc w:val="center"/>
        <w:rPr/>
      </w:pPr>
      <w:r>
        <w:rPr/>
        <w:drawing>
          <wp:inline distT="0" distB="0" distL="0" distR="0">
            <wp:extent cx="5334000" cy="3333750"/>
            <wp:effectExtent l="0" t="0" r="0" b="0"/>
            <wp:docPr id="62" name="Image62" descr="L’onglet Reten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62" descr="L’onglet Retenues"/>
                    <pic:cNvPicPr>
                      <a:picLocks noChangeAspect="1" noChangeArrowheads="1"/>
                    </pic:cNvPicPr>
                  </pic:nvPicPr>
                  <pic:blipFill>
                    <a:blip r:embed="rId63"/>
                    <a:stretch>
                      <a:fillRect/>
                    </a:stretch>
                  </pic:blipFill>
                  <pic:spPr bwMode="auto">
                    <a:xfrm>
                      <a:off x="0" y="0"/>
                      <a:ext cx="5334000" cy="3333750"/>
                    </a:xfrm>
                    <a:prstGeom prst="rect">
                      <a:avLst/>
                    </a:prstGeom>
                  </pic:spPr>
                </pic:pic>
              </a:graphicData>
            </a:graphic>
          </wp:inline>
        </w:drawing>
      </w:r>
    </w:p>
    <w:p>
      <w:pPr>
        <w:pStyle w:val="ImageCaption"/>
        <w:rPr/>
      </w:pPr>
      <w:r>
        <w:rPr/>
        <w:t>L’onglet Retenues</w:t>
      </w:r>
    </w:p>
    <w:p>
      <w:pPr>
        <w:pStyle w:val="BodyText"/>
        <w:rPr/>
      </w:pPr>
      <w:r>
        <w:rPr/>
        <w:t xml:space="preserve">Onglet </w:t>
      </w:r>
      <w:r>
        <w:rPr>
          <w:i/>
          <w:iCs/>
        </w:rPr>
        <w:t>Retenues</w:t>
      </w:r>
      <w:r>
        <w:rPr/>
        <w:t xml:space="preserve"> → </w:t>
      </w:r>
      <w:r>
        <w:rPr>
          <w:b/>
          <w:bCs/>
        </w:rPr>
        <w:t>Ajouter une retenue</w:t>
      </w:r>
      <w:r>
        <w:rPr/>
        <w:t>. Mêmes champs, avec le « Type de retenue » : CNPS, IRPP, Remboursement avance, Retenue pour absence, Remboursement prêt, Autre.</w:t>
      </w:r>
      <w:bookmarkEnd w:id="210"/>
    </w:p>
    <w:p>
      <w:pPr>
        <w:pStyle w:val="Heading4"/>
        <w:rPr/>
      </w:pPr>
      <w:bookmarkStart w:id="211" w:name="accorder-une-avance-sur-salaire"/>
      <w:r>
        <w:rPr/>
        <w:t>Accorder une avance sur salaire</w:t>
      </w:r>
    </w:p>
    <w:p>
      <w:pPr>
        <w:pStyle w:val="Normal"/>
        <w:jc w:val="center"/>
        <w:rPr/>
      </w:pPr>
      <w:r>
        <w:rPr/>
        <w:drawing>
          <wp:inline distT="0" distB="0" distL="0" distR="0">
            <wp:extent cx="5334000" cy="3333750"/>
            <wp:effectExtent l="0" t="0" r="0" b="0"/>
            <wp:docPr id="63" name="Image63" descr="L’onglet Avances sur salaire : progression du rembour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63" descr="L’onglet Avances sur salaire : progression du remboursement"/>
                    <pic:cNvPicPr>
                      <a:picLocks noChangeAspect="1" noChangeArrowheads="1"/>
                    </pic:cNvPicPr>
                  </pic:nvPicPr>
                  <pic:blipFill>
                    <a:blip r:embed="rId64"/>
                    <a:stretch>
                      <a:fillRect/>
                    </a:stretch>
                  </pic:blipFill>
                  <pic:spPr bwMode="auto">
                    <a:xfrm>
                      <a:off x="0" y="0"/>
                      <a:ext cx="5334000" cy="3333750"/>
                    </a:xfrm>
                    <a:prstGeom prst="rect">
                      <a:avLst/>
                    </a:prstGeom>
                  </pic:spPr>
                </pic:pic>
              </a:graphicData>
            </a:graphic>
          </wp:inline>
        </w:drawing>
      </w:r>
    </w:p>
    <w:p>
      <w:pPr>
        <w:pStyle w:val="ImageCaption"/>
        <w:rPr/>
      </w:pPr>
      <w:r>
        <w:rPr/>
        <w:t>L’onglet Avances sur salaire : progression du remboursement</w:t>
      </w:r>
    </w:p>
    <w:p>
      <w:pPr>
        <w:pStyle w:val="BodyText"/>
        <w:rPr/>
      </w:pPr>
      <w:r>
        <w:rPr/>
        <w:t xml:space="preserve">Onglet </w:t>
      </w:r>
      <w:r>
        <w:rPr>
          <w:i/>
          <w:iCs/>
        </w:rPr>
        <w:t>Avances sur salaire</w:t>
      </w:r>
      <w:r>
        <w:rPr/>
        <w:t xml:space="preserve"> → </w:t>
      </w:r>
      <w:r>
        <w:rPr>
          <w:b/>
          <w:bCs/>
        </w:rPr>
        <w:t>Nouvelle avance</w:t>
      </w:r>
      <w:r>
        <w:rPr/>
        <w: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5806"/>
        <w:gridCol w:w="3831"/>
      </w:tblGrid>
      <w:tr>
        <w:trPr>
          <w:tblHeader w:val="true"/>
          <w:cantSplit w:val="true"/>
        </w:trPr>
        <w:tc>
          <w:tcPr>
            <w:tcW w:w="580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383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r>
      <w:tr>
        <w:trPr>
          <w:cantSplit w:val="true"/>
        </w:trPr>
        <w:tc>
          <w:tcPr>
            <w:tcW w:w="58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Bénéficiaire</w:t>
            </w:r>
          </w:p>
        </w:tc>
        <w:tc>
          <w:tcPr>
            <w:tcW w:w="38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58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Montant total (FCFA)</w:t>
            </w:r>
          </w:p>
        </w:tc>
        <w:tc>
          <w:tcPr>
            <w:tcW w:w="38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60 000</w:t>
            </w:r>
          </w:p>
        </w:tc>
      </w:tr>
      <w:tr>
        <w:trPr>
          <w:cantSplit w:val="true"/>
        </w:trPr>
        <w:tc>
          <w:tcPr>
            <w:tcW w:w="58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Nombre d’échéances (mois)</w:t>
            </w:r>
          </w:p>
        </w:tc>
        <w:tc>
          <w:tcPr>
            <w:tcW w:w="38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3</w:t>
            </w:r>
          </w:p>
        </w:tc>
      </w:tr>
      <w:tr>
        <w:trPr>
          <w:cantSplit w:val="true"/>
        </w:trPr>
        <w:tc>
          <w:tcPr>
            <w:tcW w:w="58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Début remboursement</w:t>
            </w:r>
          </w:p>
        </w:tc>
        <w:tc>
          <w:tcPr>
            <w:tcW w:w="38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01/09/2026</w:t>
            </w:r>
          </w:p>
        </w:tc>
      </w:tr>
      <w:tr>
        <w:trPr>
          <w:cantSplit w:val="true"/>
        </w:trPr>
        <w:tc>
          <w:tcPr>
            <w:tcW w:w="58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Motif</w:t>
            </w:r>
          </w:p>
        </w:tc>
        <w:tc>
          <w:tcPr>
            <w:tcW w:w="383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Frais médicaux</w:t>
            </w:r>
          </w:p>
        </w:tc>
      </w:tr>
    </w:tbl>
    <w:p>
      <w:pPr>
        <w:pStyle w:val="BodyText"/>
        <w:rPr/>
      </w:pPr>
      <w:r>
        <w:rPr/>
        <w:t xml:space="preserve">L’« Échéance mensuelle » (ici 20 000 FCFA) est calculée automatiquement et </w:t>
      </w:r>
      <w:r>
        <w:rPr>
          <w:b/>
          <w:bCs/>
        </w:rPr>
        <w:t>déduite de chaque bulletin</w:t>
      </w:r>
      <w:r>
        <w:rPr/>
        <w:t xml:space="preserve"> jusqu’au remboursement complet. Le tableau suit le montant remboursé et la progression ; l’avance passe au statut </w:t>
      </w:r>
      <w:r>
        <w:rPr>
          <w:i/>
          <w:iCs/>
        </w:rPr>
        <w:t>Remboursée</w:t>
      </w:r>
      <w:r>
        <w:rPr/>
        <w:t xml:space="preserve"> à la dernière échéance.</w:t>
      </w:r>
      <w:bookmarkEnd w:id="207"/>
      <w:bookmarkEnd w:id="211"/>
    </w:p>
    <w:p>
      <w:pPr>
        <w:pStyle w:val="Heading3"/>
        <w:rPr/>
      </w:pPr>
      <w:bookmarkStart w:id="212" w:name="générer-la-campagne-du-mois"/>
      <w:r>
        <w:rPr/>
        <w:t>2. Générer la campagne du mois</w:t>
      </w:r>
    </w:p>
    <w:p>
      <w:pPr>
        <w:pStyle w:val="Normal"/>
        <w:jc w:val="center"/>
        <w:rPr/>
      </w:pPr>
      <w:r>
        <w:rPr/>
        <w:drawing>
          <wp:inline distT="0" distB="0" distL="0" distR="0">
            <wp:extent cx="5334000" cy="3333750"/>
            <wp:effectExtent l="0" t="0" r="0" b="0"/>
            <wp:docPr id="64" name="Image64" descr="Salaires des formateurs : heures des vacataires et salaires fi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64" descr="Salaires des formateurs : heures des vacataires et salaires fixes"/>
                    <pic:cNvPicPr>
                      <a:picLocks noChangeAspect="1" noChangeArrowheads="1"/>
                    </pic:cNvPicPr>
                  </pic:nvPicPr>
                  <pic:blipFill>
                    <a:blip r:embed="rId65"/>
                    <a:stretch>
                      <a:fillRect/>
                    </a:stretch>
                  </pic:blipFill>
                  <pic:spPr bwMode="auto">
                    <a:xfrm>
                      <a:off x="0" y="0"/>
                      <a:ext cx="5334000" cy="3333750"/>
                    </a:xfrm>
                    <a:prstGeom prst="rect">
                      <a:avLst/>
                    </a:prstGeom>
                  </pic:spPr>
                </pic:pic>
              </a:graphicData>
            </a:graphic>
          </wp:inline>
        </w:drawing>
      </w:r>
    </w:p>
    <w:p>
      <w:pPr>
        <w:pStyle w:val="ImageCaption"/>
        <w:rPr/>
      </w:pPr>
      <w:r>
        <w:rPr/>
        <w:t>Salaires des formateurs : heures des vacataires et salaires fixes</w:t>
      </w:r>
    </w:p>
    <w:p>
      <w:pPr>
        <w:pStyle w:val="Normal"/>
        <w:jc w:val="center"/>
        <w:rPr/>
      </w:pPr>
      <w:r>
        <w:rPr/>
        <w:drawing>
          <wp:inline distT="0" distB="0" distL="0" distR="0">
            <wp:extent cx="5334000" cy="3333750"/>
            <wp:effectExtent l="0" t="0" r="0" b="0"/>
            <wp:docPr id="65" name="Image65" descr="La fenêtre « Générer une campagne de paie (Formate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65" descr="La fenêtre « Générer une campagne de paie (Formateurs) »"/>
                    <pic:cNvPicPr>
                      <a:picLocks noChangeAspect="1" noChangeArrowheads="1"/>
                    </pic:cNvPicPr>
                  </pic:nvPicPr>
                  <pic:blipFill>
                    <a:blip r:embed="rId66"/>
                    <a:stretch>
                      <a:fillRect/>
                    </a:stretch>
                  </pic:blipFill>
                  <pic:spPr bwMode="auto">
                    <a:xfrm>
                      <a:off x="0" y="0"/>
                      <a:ext cx="5334000" cy="3333750"/>
                    </a:xfrm>
                    <a:prstGeom prst="rect">
                      <a:avLst/>
                    </a:prstGeom>
                  </pic:spPr>
                </pic:pic>
              </a:graphicData>
            </a:graphic>
          </wp:inline>
        </w:drawing>
      </w:r>
    </w:p>
    <w:p>
      <w:pPr>
        <w:pStyle w:val="ImageCaption"/>
        <w:rPr/>
      </w:pPr>
      <w:r>
        <w:rPr/>
        <w:t>La fenêtre « Générer une campagne de paie (Formateurs) »</w:t>
      </w:r>
    </w:p>
    <w:p>
      <w:pPr>
        <w:pStyle w:val="Compact"/>
        <w:numPr>
          <w:ilvl w:val="0"/>
          <w:numId w:val="341"/>
        </w:numPr>
        <w:rPr/>
      </w:pPr>
      <w:r>
        <w:rPr/>
        <w:t xml:space="preserve">Onglet </w:t>
      </w:r>
      <w:r>
        <w:rPr>
          <w:i/>
          <w:iCs/>
        </w:rPr>
        <w:t>Campagnes de paie</w:t>
      </w:r>
      <w:r>
        <w:rPr/>
        <w:t xml:space="preserve"> → </w:t>
      </w:r>
      <w:r>
        <w:rPr>
          <w:b/>
          <w:bCs/>
        </w:rPr>
        <w:t>Générer une campagne</w:t>
      </w:r>
      <w:r>
        <w:rPr/>
        <w:t>.</w:t>
      </w:r>
    </w:p>
    <w:p>
      <w:pPr>
        <w:pStyle w:val="Compact"/>
        <w:numPr>
          <w:ilvl w:val="0"/>
          <w:numId w:val="342"/>
        </w:numPr>
        <w:rPr/>
      </w:pPr>
      <w:r>
        <w:rPr/>
        <w:t>Choisissez le « Mois » et l’« Année ».</w:t>
      </w:r>
    </w:p>
    <w:p>
      <w:pPr>
        <w:pStyle w:val="Compact"/>
        <w:numPr>
          <w:ilvl w:val="0"/>
          <w:numId w:val="343"/>
        </w:numPr>
        <w:rPr/>
      </w:pPr>
      <w:r>
        <w:rPr>
          <w:b/>
          <w:bCs/>
        </w:rPr>
        <w:t>Page Formateurs uniquement</w:t>
      </w:r>
      <w:r>
        <w:rPr/>
        <w:t xml:space="preserve"> : le tableau « Heures effectuées - Formateurs vacataires » montre, pour chaque vacataire, le taux horaire, les heures validées et le montant à payer. Les heures proviennent des récapitulatifs </w:t>
      </w:r>
      <w:r>
        <w:rPr>
          <w:b/>
          <w:bCs/>
        </w:rPr>
        <w:t>validés</w:t>
      </w:r>
      <w:r>
        <w:rPr/>
        <w:t xml:space="preserve">. Pour un vacataire sans pointage (« Aucune heure »), vous pouvez cocher </w:t>
      </w:r>
      <w:r>
        <w:rPr>
          <w:b/>
          <w:bCs/>
        </w:rPr>
        <w:t>Saisie manuelle</w:t>
      </w:r>
      <w:r>
        <w:rPr/>
        <w:t xml:space="preserve"> et taper ses heures. Le tableau « Formateurs permanents (salaire fixe) » rappelle les salaires fixes.</w:t>
      </w:r>
    </w:p>
    <w:p>
      <w:pPr>
        <w:pStyle w:val="Compact"/>
        <w:numPr>
          <w:ilvl w:val="0"/>
          <w:numId w:val="344"/>
        </w:numPr>
        <w:rPr/>
      </w:pPr>
      <w:r>
        <w:rPr/>
        <w:t>Confirmez la génération.</w:t>
      </w:r>
    </w:p>
    <w:p>
      <w:pPr>
        <w:pStyle w:val="FirstParagraph"/>
        <w:rPr/>
      </w:pPr>
      <w:r>
        <w:rPr/>
        <w:t>Règles :</w:t>
      </w:r>
    </w:p>
    <w:p>
      <w:pPr>
        <w:pStyle w:val="Compact"/>
        <w:numPr>
          <w:ilvl w:val="0"/>
          <w:numId w:val="345"/>
        </w:numPr>
        <w:rPr/>
      </w:pPr>
      <w:r>
        <w:rPr>
          <w:b/>
          <w:bCs/>
        </w:rPr>
        <w:t>Une seule campagne par mois</w:t>
      </w:r>
      <w:r>
        <w:rPr/>
        <w:t xml:space="preserve"> et par type (personnel / formateurs). Une deuxième tentative est refusée.</w:t>
      </w:r>
    </w:p>
    <w:p>
      <w:pPr>
        <w:pStyle w:val="Compact"/>
        <w:numPr>
          <w:ilvl w:val="0"/>
          <w:numId w:val="346"/>
        </w:numPr>
        <w:rPr/>
      </w:pPr>
      <w:bookmarkStart w:id="213" w:name="générer-la-campagne-du-mois"/>
      <w:r>
        <w:rPr/>
        <w:t>Une personne dont le salaire de base est nul (vacataire sans heures, salaire non renseigné) n’a pas de bulletin.</w:t>
      </w:r>
      <w:bookmarkEnd w:id="213"/>
    </w:p>
    <w:p>
      <w:pPr>
        <w:pStyle w:val="Heading3"/>
        <w:rPr/>
      </w:pPr>
      <w:bookmarkStart w:id="214" w:name="contrôler-les-bulletins"/>
      <w:r>
        <w:rPr/>
        <w:t>3. Contrôler les bulletins</w:t>
      </w:r>
    </w:p>
    <w:p>
      <w:pPr>
        <w:pStyle w:val="Normal"/>
        <w:jc w:val="center"/>
        <w:rPr/>
      </w:pPr>
      <w:r>
        <w:rPr/>
        <w:drawing>
          <wp:inline distT="0" distB="0" distL="0" distR="0">
            <wp:extent cx="5334000" cy="3333750"/>
            <wp:effectExtent l="0" t="0" r="0" b="0"/>
            <wp:docPr id="66" name="Image66" descr="L’onglet Bullet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66" descr="L’onglet Bulletins"/>
                    <pic:cNvPicPr>
                      <a:picLocks noChangeAspect="1" noChangeArrowheads="1"/>
                    </pic:cNvPicPr>
                  </pic:nvPicPr>
                  <pic:blipFill>
                    <a:blip r:embed="rId67"/>
                    <a:stretch>
                      <a:fillRect/>
                    </a:stretch>
                  </pic:blipFill>
                  <pic:spPr bwMode="auto">
                    <a:xfrm>
                      <a:off x="0" y="0"/>
                      <a:ext cx="5334000" cy="3333750"/>
                    </a:xfrm>
                    <a:prstGeom prst="rect">
                      <a:avLst/>
                    </a:prstGeom>
                  </pic:spPr>
                </pic:pic>
              </a:graphicData>
            </a:graphic>
          </wp:inline>
        </w:drawing>
      </w:r>
    </w:p>
    <w:p>
      <w:pPr>
        <w:pStyle w:val="ImageCaption"/>
        <w:rPr/>
      </w:pPr>
      <w:r>
        <w:rPr/>
        <w:t>L’onglet Bulletins</w:t>
      </w:r>
    </w:p>
    <w:p>
      <w:pPr>
        <w:pStyle w:val="Normal"/>
        <w:jc w:val="center"/>
        <w:rPr/>
      </w:pPr>
      <w:r>
        <w:rPr/>
        <w:drawing>
          <wp:inline distT="0" distB="0" distL="0" distR="0">
            <wp:extent cx="5334000" cy="3333750"/>
            <wp:effectExtent l="0" t="0" r="0" b="0"/>
            <wp:docPr id="67" name="Image67" descr="Le détail d’un bulletin de pa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67" descr="Le détail d’un bulletin de paie"/>
                    <pic:cNvPicPr>
                      <a:picLocks noChangeAspect="1" noChangeArrowheads="1"/>
                    </pic:cNvPicPr>
                  </pic:nvPicPr>
                  <pic:blipFill>
                    <a:blip r:embed="rId68"/>
                    <a:stretch>
                      <a:fillRect/>
                    </a:stretch>
                  </pic:blipFill>
                  <pic:spPr bwMode="auto">
                    <a:xfrm>
                      <a:off x="0" y="0"/>
                      <a:ext cx="5334000" cy="3333750"/>
                    </a:xfrm>
                    <a:prstGeom prst="rect">
                      <a:avLst/>
                    </a:prstGeom>
                  </pic:spPr>
                </pic:pic>
              </a:graphicData>
            </a:graphic>
          </wp:inline>
        </w:drawing>
      </w:r>
    </w:p>
    <w:p>
      <w:pPr>
        <w:pStyle w:val="ImageCaption"/>
        <w:rPr/>
      </w:pPr>
      <w:r>
        <w:rPr/>
        <w:t>Le détail d’un bulletin de paie</w:t>
      </w:r>
    </w:p>
    <w:p>
      <w:pPr>
        <w:pStyle w:val="Compact"/>
        <w:numPr>
          <w:ilvl w:val="0"/>
          <w:numId w:val="347"/>
        </w:numPr>
        <w:rPr/>
      </w:pPr>
      <w:r>
        <w:rPr/>
        <w:t xml:space="preserve">Dans la liste des campagnes, l’icône </w:t>
      </w:r>
      <w:r>
        <w:rPr>
          <w:b/>
          <w:bCs/>
        </w:rPr>
        <w:t>Voir les bulletins</w:t>
      </w:r>
      <w:r>
        <w:rPr/>
        <w:t xml:space="preserve"> ouvre le détail de la campagne (un bulletin par personne).</w:t>
      </w:r>
    </w:p>
    <w:p>
      <w:pPr>
        <w:pStyle w:val="Compact"/>
        <w:numPr>
          <w:ilvl w:val="0"/>
          <w:numId w:val="348"/>
        </w:numPr>
        <w:rPr/>
      </w:pPr>
      <w:r>
        <w:rPr/>
        <w:t xml:space="preserve">L’onglet </w:t>
      </w:r>
      <w:r>
        <w:rPr>
          <w:i/>
          <w:iCs/>
        </w:rPr>
        <w:t>Bulletins</w:t>
      </w:r>
      <w:r>
        <w:rPr/>
        <w:t xml:space="preserve"> liste tous les bulletins ; </w:t>
      </w:r>
      <w:r>
        <w:rPr>
          <w:b/>
          <w:bCs/>
        </w:rPr>
        <w:t>Voir détail</w:t>
      </w:r>
      <w:r>
        <w:rPr/>
        <w:t xml:space="preserve"> ouvre le « Bulletin de paie » : salaire de base, primes (+), retenues (−), </w:t>
      </w:r>
      <w:r>
        <w:rPr>
          <w:b/>
          <w:bCs/>
        </w:rPr>
        <w:t>NET À PAYER</w:t>
      </w:r>
      <w:r>
        <w:rPr/>
        <w:t>.</w:t>
      </w:r>
    </w:p>
    <w:p>
      <w:pPr>
        <w:pStyle w:val="FirstParagraph"/>
        <w:rPr/>
      </w:pPr>
      <w:bookmarkStart w:id="215" w:name="contrôler-les-bulletins"/>
      <w:r>
        <w:rPr/>
        <w:t>Une erreur ? Tant que la campagne n’est pas payée : supprimez-la (corbeille), corrigez la prime, la retenue, le salaire ou les heures, puis générez-la de nouveau.</w:t>
      </w:r>
      <w:bookmarkEnd w:id="215"/>
    </w:p>
    <w:p>
      <w:pPr>
        <w:pStyle w:val="Heading3"/>
        <w:rPr/>
      </w:pPr>
      <w:bookmarkStart w:id="216" w:name="valider-puis-payer"/>
      <w:bookmarkEnd w:id="216"/>
      <w:r>
        <w:rPr/>
        <w:t>4. Valider puis payer</w:t>
      </w:r>
    </w:p>
    <w:p>
      <w:pPr>
        <w:pStyle w:val="Compact"/>
        <w:numPr>
          <w:ilvl w:val="0"/>
          <w:numId w:val="349"/>
        </w:numPr>
        <w:rPr/>
      </w:pPr>
      <w:r>
        <w:rPr/>
        <w:t xml:space="preserve">Icône </w:t>
      </w:r>
      <w:r>
        <w:rPr>
          <w:b/>
          <w:bCs/>
        </w:rPr>
        <w:t>Valider</w:t>
      </w:r>
      <w:r>
        <w:rPr/>
        <w:t xml:space="preserve"> sur la campagne : elle passe au statut </w:t>
      </w:r>
      <w:r>
        <w:rPr>
          <w:i/>
          <w:iCs/>
        </w:rPr>
        <w:t>Validée</w:t>
      </w:r>
      <w:r>
        <w:rPr/>
        <w:t>.</w:t>
      </w:r>
    </w:p>
    <w:p>
      <w:pPr>
        <w:pStyle w:val="Compact"/>
        <w:numPr>
          <w:ilvl w:val="0"/>
          <w:numId w:val="350"/>
        </w:numPr>
        <w:rPr/>
      </w:pPr>
      <w:r>
        <w:rPr/>
        <w:t xml:space="preserve">Après avoir effectué les paiements, icône </w:t>
      </w:r>
      <w:r>
        <w:rPr>
          <w:b/>
          <w:bCs/>
        </w:rPr>
        <w:t>Marquer comme payée</w:t>
      </w:r>
      <w:r>
        <w:rPr/>
        <w:t>. SmartCampus :</w:t>
      </w:r>
    </w:p>
    <w:p>
      <w:pPr>
        <w:pStyle w:val="Compact"/>
        <w:numPr>
          <w:ilvl w:val="1"/>
          <w:numId w:val="351"/>
        </w:numPr>
        <w:rPr/>
      </w:pPr>
      <w:r>
        <w:rPr/>
        <w:t xml:space="preserve">passe tous les bulletins au statut </w:t>
      </w:r>
      <w:r>
        <w:rPr>
          <w:i/>
          <w:iCs/>
        </w:rPr>
        <w:t>Payé</w:t>
      </w:r>
      <w:r>
        <w:rPr/>
        <w:t xml:space="preserve"> ;</w:t>
      </w:r>
    </w:p>
    <w:p>
      <w:pPr>
        <w:pStyle w:val="Compact"/>
        <w:numPr>
          <w:ilvl w:val="1"/>
          <w:numId w:val="352"/>
        </w:numPr>
        <w:rPr/>
      </w:pPr>
      <w:r>
        <w:rPr/>
        <w:t xml:space="preserve">enregistre une </w:t>
      </w:r>
      <w:r>
        <w:rPr>
          <w:b/>
          <w:bCs/>
        </w:rPr>
        <w:t>dépense</w:t>
      </w:r>
      <w:r>
        <w:rPr/>
        <w:t xml:space="preserve"> par bulletin dans l’aperçu financier ;</w:t>
      </w:r>
    </w:p>
    <w:p>
      <w:pPr>
        <w:pStyle w:val="Compact"/>
        <w:numPr>
          <w:ilvl w:val="1"/>
          <w:numId w:val="353"/>
        </w:numPr>
        <w:rPr/>
      </w:pPr>
      <w:r>
        <w:rPr/>
        <w:t>comptabilise l’échéance des avances comme remboursée ;</w:t>
      </w:r>
    </w:p>
    <w:p>
      <w:pPr>
        <w:pStyle w:val="Compact"/>
        <w:numPr>
          <w:ilvl w:val="1"/>
          <w:numId w:val="354"/>
        </w:numPr>
        <w:rPr/>
      </w:pPr>
      <w:r>
        <w:rPr/>
        <w:t xml:space="preserve">passe les récapitulatifs d’heures des vacataires au statut </w:t>
      </w:r>
      <w:r>
        <w:rPr>
          <w:i/>
          <w:iCs/>
        </w:rPr>
        <w:t>Payé</w:t>
      </w:r>
      <w:r>
        <w:rPr/>
        <w:t>.</w:t>
      </w:r>
    </w:p>
    <w:p>
      <w:pPr>
        <w:pStyle w:val="EncadreDanger"/>
        <w:rPr/>
      </w:pPr>
      <w:r>
        <w:rPr>
          <w:b/>
          <w:bCs/>
        </w:rPr>
        <w:t>Une campagne payée est définitive</w:t>
      </w:r>
    </w:p>
    <w:p>
      <w:pPr>
        <w:pStyle w:val="EncadreDanger"/>
        <w:rPr/>
      </w:pPr>
      <w:r>
        <w:rPr/>
        <w:t>Elle ne peut plus être supprimée (sinon les dépenses et remboursements enregistrés seraient faussés). Une campagne ne peut pas être payée avant d’avoir été validée.</w:t>
      </w:r>
    </w:p>
    <w:p>
      <w:pPr>
        <w:pStyle w:val="Normal"/>
        <w:spacing w:before="0" w:after="60"/>
        <w:rPr>
          <w:sz w:val="8"/>
        </w:rPr>
      </w:pPr>
      <w:r>
        <w:rPr>
          <w:sz w:val="8"/>
        </w:rPr>
      </w:r>
      <w:bookmarkStart w:id="217" w:name="valider-puis-payer"/>
      <w:bookmarkStart w:id="218" w:name="valider-puis-payer"/>
      <w:bookmarkEnd w:id="218"/>
    </w:p>
    <w:p>
      <w:pPr>
        <w:pStyle w:val="Heading3"/>
        <w:rPr/>
      </w:pPr>
      <w:bookmarkStart w:id="219" w:name="statistiques"/>
      <w:r>
        <w:rPr/>
        <w:t>5. Statistiques</w:t>
      </w:r>
    </w:p>
    <w:p>
      <w:pPr>
        <w:pStyle w:val="Normal"/>
        <w:jc w:val="center"/>
        <w:rPr/>
      </w:pPr>
      <w:r>
        <w:rPr/>
        <w:drawing>
          <wp:inline distT="0" distB="0" distL="0" distR="0">
            <wp:extent cx="5334000" cy="3333750"/>
            <wp:effectExtent l="0" t="0" r="0" b="0"/>
            <wp:docPr id="68" name="Image68" descr="L’onglet Statistiques : historique mens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68" descr="L’onglet Statistiques : historique mensuel"/>
                    <pic:cNvPicPr>
                      <a:picLocks noChangeAspect="1" noChangeArrowheads="1"/>
                    </pic:cNvPicPr>
                  </pic:nvPicPr>
                  <pic:blipFill>
                    <a:blip r:embed="rId69"/>
                    <a:stretch>
                      <a:fillRect/>
                    </a:stretch>
                  </pic:blipFill>
                  <pic:spPr bwMode="auto">
                    <a:xfrm>
                      <a:off x="0" y="0"/>
                      <a:ext cx="5334000" cy="3333750"/>
                    </a:xfrm>
                    <a:prstGeom prst="rect">
                      <a:avLst/>
                    </a:prstGeom>
                  </pic:spPr>
                </pic:pic>
              </a:graphicData>
            </a:graphic>
          </wp:inline>
        </w:drawing>
      </w:r>
    </w:p>
    <w:p>
      <w:pPr>
        <w:pStyle w:val="ImageCaption"/>
        <w:rPr/>
      </w:pPr>
      <w:r>
        <w:rPr/>
        <w:t>L’onglet Statistiques : historique mensuel</w:t>
      </w:r>
    </w:p>
    <w:p>
      <w:pPr>
        <w:pStyle w:val="BodyText"/>
        <w:rPr/>
      </w:pPr>
      <w:r>
        <w:rPr/>
        <w:t xml:space="preserve">L’onglet </w:t>
      </w:r>
      <w:r>
        <w:rPr>
          <w:i/>
          <w:iCs/>
        </w:rPr>
        <w:t>Statistiques</w:t>
      </w:r>
      <w:r>
        <w:rPr/>
        <w:t xml:space="preserve"> présente l’« Historique mensuel » : total brut, primes, retenues et net par mois (et, côté formateurs, le total versé aux vacataires).</w:t>
      </w:r>
      <w:bookmarkEnd w:id="203"/>
      <w:bookmarkEnd w:id="219"/>
    </w:p>
    <w:p>
      <w:pPr>
        <w:pStyle w:val="Heading2"/>
        <w:rPr/>
      </w:pPr>
      <w:bookmarkStart w:id="220" w:name="__RefHeading___Toc15178_1458957718"/>
      <w:bookmarkStart w:id="221" w:name="X8f8f9327159905c169853a0044f648ec3d631d3"/>
      <w:bookmarkEnd w:id="220"/>
      <w:r>
        <w:rPr/>
        <w:t>Administration — Heures des enseignants vacataires</w:t>
      </w:r>
    </w:p>
    <w:p>
      <w:pPr>
        <w:pStyle w:val="FirstParagraph"/>
        <w:rPr/>
      </w:pPr>
      <w:r>
        <w:rPr>
          <w:b/>
          <w:bCs/>
        </w:rPr>
        <w:t>Menu :</w:t>
      </w:r>
      <w:r>
        <w:rPr/>
        <w:t xml:space="preserve"> Finances → Heures vacataires — </w:t>
      </w:r>
      <w:r>
        <w:rPr>
          <w:b/>
          <w:bCs/>
        </w:rPr>
        <w:t>Accès :</w:t>
      </w:r>
      <w:r>
        <w:rPr/>
        <w:t xml:space="preserve"> domaine </w:t>
      </w:r>
      <w:r>
        <w:rPr>
          <w:i/>
          <w:iCs/>
        </w:rPr>
        <w:t>Finances</w:t>
      </w:r>
      <w:r>
        <w:rPr/>
        <w:t>.</w:t>
      </w:r>
    </w:p>
    <w:p>
      <w:pPr>
        <w:pStyle w:val="BodyText"/>
        <w:rPr/>
      </w:pPr>
      <w:r>
        <w:rPr/>
        <w:t xml:space="preserve">Les enseignants </w:t>
      </w:r>
      <w:r>
        <w:rPr>
          <w:b/>
          <w:bCs/>
        </w:rPr>
        <w:t>vacataires</w:t>
      </w:r>
      <w:r>
        <w:rPr/>
        <w:t xml:space="preserve"> sont payés pour les heures </w:t>
      </w:r>
      <w:r>
        <w:rPr>
          <w:b/>
          <w:bCs/>
        </w:rPr>
        <w:t>réellement effectuées</w:t>
      </w:r>
      <w:r>
        <w:rPr/>
        <w:t xml:space="preserve">. Ces heures sont pointées par le </w:t>
      </w:r>
      <w:r>
        <w:rPr>
          <w:b/>
          <w:bCs/>
        </w:rPr>
        <w:t>coordonnateur</w:t>
      </w:r>
      <w:r>
        <w:rPr/>
        <w:t xml:space="preserve"> de chaque filière, à partir de l’emploi du temps, puis validées par la finance avant la paie.</w:t>
      </w:r>
    </w:p>
    <w:p>
      <w:pPr>
        <w:pStyle w:val="Heading3"/>
        <w:rPr/>
      </w:pPr>
      <w:r>
        <w:rPr/>
        <w:t>Le parcours complet</w:t>
      </w:r>
    </w:p>
    <w:p>
      <w:pPr>
        <w:pStyle w:val="Normal"/>
        <w:jc w:val="center"/>
        <w:rPr/>
      </w:pPr>
      <w:r>
        <w:rPr/>
        <w:drawing>
          <wp:inline distT="0" distB="0" distL="0" distR="0">
            <wp:extent cx="5334000" cy="687070"/>
            <wp:effectExtent l="0" t="0" r="0" b="0"/>
            <wp:docPr id="69" name="Image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69" descr=""/>
                    <pic:cNvPicPr>
                      <a:picLocks noChangeAspect="1" noChangeArrowheads="1"/>
                    </pic:cNvPicPr>
                  </pic:nvPicPr>
                  <pic:blipFill>
                    <a:blip r:embed="rId70"/>
                    <a:stretch>
                      <a:fillRect/>
                    </a:stretch>
                  </pic:blipFill>
                  <pic:spPr bwMode="auto">
                    <a:xfrm>
                      <a:off x="0" y="0"/>
                      <a:ext cx="5334000" cy="687070"/>
                    </a:xfrm>
                    <a:prstGeom prst="rect">
                      <a:avLst/>
                    </a:prstGeom>
                  </pic:spPr>
                </pic:pic>
              </a:graphicData>
            </a:graphic>
          </wp:inline>
        </w:drawing>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098"/>
        <w:gridCol w:w="4850"/>
        <w:gridCol w:w="2690"/>
      </w:tblGrid>
      <w:tr>
        <w:trPr>
          <w:tblHeader w:val="true"/>
          <w:cantSplit w:val="true"/>
        </w:trPr>
        <w:tc>
          <w:tcPr>
            <w:tcW w:w="209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Statut du récapitulatif</w:t>
            </w:r>
          </w:p>
        </w:tc>
        <w:tc>
          <w:tcPr>
            <w:tcW w:w="485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Signification</w:t>
            </w:r>
          </w:p>
        </w:tc>
        <w:tc>
          <w:tcPr>
            <w:tcW w:w="269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Qui agit</w:t>
            </w:r>
          </w:p>
        </w:tc>
      </w:tr>
      <w:tr>
        <w:trPr>
          <w:cantSplit w:val="true"/>
        </w:trPr>
        <w:tc>
          <w:tcPr>
            <w:tcW w:w="20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Ouvert</w:t>
            </w:r>
          </w:p>
        </w:tc>
        <w:tc>
          <w:tcPr>
            <w:tcW w:w="48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Mois en cours de pointage.</w:t>
            </w:r>
          </w:p>
        </w:tc>
        <w:tc>
          <w:tcPr>
            <w:tcW w:w="26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Coordonnateur</w:t>
            </w:r>
          </w:p>
        </w:tc>
      </w:tr>
      <w:tr>
        <w:trPr>
          <w:cantSplit w:val="true"/>
        </w:trPr>
        <w:tc>
          <w:tcPr>
            <w:tcW w:w="20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Clôturé</w:t>
            </w:r>
          </w:p>
        </w:tc>
        <w:tc>
          <w:tcPr>
            <w:tcW w:w="48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 coordonnateur a terminé ; en attente de la finance. Les pointages sont verrouillés.</w:t>
            </w:r>
          </w:p>
        </w:tc>
        <w:tc>
          <w:tcPr>
            <w:tcW w:w="26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Finance (valider / rejeter) ou coordonnateur (rouvrir)</w:t>
            </w:r>
          </w:p>
        </w:tc>
      </w:tr>
      <w:tr>
        <w:trPr>
          <w:cantSplit w:val="true"/>
        </w:trPr>
        <w:tc>
          <w:tcPr>
            <w:tcW w:w="20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Rejeté</w:t>
            </w:r>
          </w:p>
        </w:tc>
        <w:tc>
          <w:tcPr>
            <w:tcW w:w="48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finance a renvoyé le récap avec un motif. Le coordonnateur corrige puis clôture à nouveau.</w:t>
            </w:r>
          </w:p>
        </w:tc>
        <w:tc>
          <w:tcPr>
            <w:tcW w:w="26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Coordonnateur</w:t>
            </w:r>
          </w:p>
        </w:tc>
      </w:tr>
      <w:tr>
        <w:trPr>
          <w:cantSplit w:val="true"/>
        </w:trPr>
        <w:tc>
          <w:tcPr>
            <w:tcW w:w="20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Validé</w:t>
            </w:r>
          </w:p>
        </w:tc>
        <w:tc>
          <w:tcPr>
            <w:tcW w:w="48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Heures approuvées : elles seront payées par la prochaine campagne du mois.</w:t>
            </w:r>
          </w:p>
        </w:tc>
        <w:tc>
          <w:tcPr>
            <w:tcW w:w="26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Finance (campagne de paie)</w:t>
            </w:r>
          </w:p>
        </w:tc>
      </w:tr>
      <w:tr>
        <w:trPr>
          <w:cantSplit w:val="true"/>
        </w:trPr>
        <w:tc>
          <w:tcPr>
            <w:tcW w:w="20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Payé</w:t>
            </w:r>
          </w:p>
        </w:tc>
        <w:tc>
          <w:tcPr>
            <w:tcW w:w="48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campagne de paie contenant ces heures a été payée.</w:t>
            </w:r>
          </w:p>
        </w:tc>
        <w:tc>
          <w:tcPr>
            <w:tcW w:w="269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bookmarkStart w:id="222" w:name="le-parcours-complet"/>
            <w:bookmarkEnd w:id="222"/>
          </w:p>
        </w:tc>
      </w:tr>
    </w:tbl>
    <w:p>
      <w:pPr>
        <w:pStyle w:val="Heading3"/>
        <w:rPr/>
      </w:pPr>
      <w:r>
        <w:rPr/>
        <w:t>Règles de calcul</w:t>
      </w:r>
    </w:p>
    <w:p>
      <w:pPr>
        <w:pStyle w:val="Compact"/>
        <w:numPr>
          <w:ilvl w:val="0"/>
          <w:numId w:val="355"/>
        </w:numPr>
        <w:rPr/>
      </w:pPr>
      <w:r>
        <w:rPr/>
        <w:t xml:space="preserve">Durée d’une séance = </w:t>
      </w:r>
      <w:r>
        <w:rPr>
          <w:b/>
          <w:bCs/>
        </w:rPr>
        <w:t>heure de fin − heure d’arrivée</w:t>
      </w:r>
      <w:r>
        <w:rPr/>
        <w:t xml:space="preserve"> réellement pointées, </w:t>
      </w:r>
      <w:r>
        <w:rPr>
          <w:b/>
          <w:bCs/>
        </w:rPr>
        <w:t>arrondie au quart d’heure le plus proche</w:t>
      </w:r>
      <w:r>
        <w:rPr/>
        <w:t xml:space="preserve">. Exemple : arrivée 08:05, fin 10:02 → 1 h 57 → </w:t>
      </w:r>
      <w:r>
        <w:rPr>
          <w:b/>
          <w:bCs/>
        </w:rPr>
        <w:t>2,00 h</w:t>
      </w:r>
      <w:r>
        <w:rPr/>
        <w:t>.</w:t>
      </w:r>
    </w:p>
    <w:p>
      <w:pPr>
        <w:pStyle w:val="Compact"/>
        <w:numPr>
          <w:ilvl w:val="0"/>
          <w:numId w:val="356"/>
        </w:numPr>
        <w:rPr/>
      </w:pPr>
      <w:r>
        <w:rPr/>
        <w:t xml:space="preserve">Une séance marquée </w:t>
      </w:r>
      <w:r>
        <w:rPr>
          <w:b/>
          <w:bCs/>
        </w:rPr>
        <w:t>Absent</w:t>
      </w:r>
      <w:r>
        <w:rPr/>
        <w:t xml:space="preserve"> compte 0 heure (elle apparaît dans la colonne Absences).</w:t>
      </w:r>
    </w:p>
    <w:p>
      <w:pPr>
        <w:pStyle w:val="Compact"/>
        <w:numPr>
          <w:ilvl w:val="0"/>
          <w:numId w:val="357"/>
        </w:numPr>
        <w:rPr/>
      </w:pPr>
      <w:r>
        <w:rPr/>
        <w:t xml:space="preserve">Montant du mois = total des heures × </w:t>
      </w:r>
      <w:r>
        <w:rPr>
          <w:b/>
          <w:bCs/>
        </w:rPr>
        <w:t>taux horaire</w:t>
      </w:r>
      <w:r>
        <w:rPr/>
        <w:t xml:space="preserve"> du formateur (fiche </w:t>
      </w:r>
      <w:r>
        <w:rPr>
          <w:b/>
          <w:bCs/>
        </w:rPr>
        <w:t>Enseignants</w:t>
      </w:r>
      <w:r>
        <w:rPr/>
        <w:t>).</w:t>
      </w:r>
    </w:p>
    <w:p>
      <w:pPr>
        <w:pStyle w:val="Compact"/>
        <w:numPr>
          <w:ilvl w:val="0"/>
          <w:numId w:val="358"/>
        </w:numPr>
        <w:rPr/>
      </w:pPr>
      <w:r>
        <w:rPr/>
        <w:t xml:space="preserve">Les heures d’un formateur </w:t>
      </w:r>
      <w:r>
        <w:rPr>
          <w:b/>
          <w:bCs/>
        </w:rPr>
        <w:t>permanent</w:t>
      </w:r>
      <w:r>
        <w:rPr/>
        <w:t xml:space="preserve"> sont pointées pour le suivi mais ne génèrent pas de montant : il est payé par son salaire fixe.</w:t>
      </w:r>
    </w:p>
    <w:p>
      <w:pPr>
        <w:pStyle w:val="Compact"/>
        <w:numPr>
          <w:ilvl w:val="0"/>
          <w:numId w:val="359"/>
        </w:numPr>
        <w:rPr/>
      </w:pPr>
      <w:r>
        <w:rPr/>
        <w:t>Un récapitulatif ne peut être clôturé qu’</w:t>
      </w:r>
      <w:r>
        <w:rPr>
          <w:b/>
          <w:bCs/>
        </w:rPr>
        <w:t>à partir du dernier jour du mois</w:t>
      </w:r>
      <w:r>
        <w:rPr/>
        <w:t>.</w:t>
      </w:r>
    </w:p>
    <w:p>
      <w:pPr>
        <w:pStyle w:val="Heading3"/>
        <w:rPr/>
      </w:pPr>
      <w:bookmarkStart w:id="223" w:name="valider-les-heures-du-mois-finance"/>
      <w:bookmarkEnd w:id="223"/>
      <w:r>
        <w:rPr/>
        <w:t>Valider les heures du mois (finance)</w:t>
      </w:r>
    </w:p>
    <w:p>
      <w:pPr>
        <w:pStyle w:val="Normal"/>
        <w:jc w:val="center"/>
        <w:rPr/>
      </w:pPr>
      <w:r>
        <w:rPr/>
        <w:drawing>
          <wp:inline distT="0" distB="0" distL="0" distR="0">
            <wp:extent cx="5334000" cy="3333750"/>
            <wp:effectExtent l="0" t="0" r="0" b="0"/>
            <wp:docPr id="70" name="Image70" descr="Heures des vacataires : compteurs et récapitulatifs du m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70" descr="Heures des vacataires : compteurs et récapitulatifs du mois"/>
                    <pic:cNvPicPr>
                      <a:picLocks noChangeAspect="1" noChangeArrowheads="1"/>
                    </pic:cNvPicPr>
                  </pic:nvPicPr>
                  <pic:blipFill>
                    <a:blip r:embed="rId71"/>
                    <a:stretch>
                      <a:fillRect/>
                    </a:stretch>
                  </pic:blipFill>
                  <pic:spPr bwMode="auto">
                    <a:xfrm>
                      <a:off x="0" y="0"/>
                      <a:ext cx="5334000" cy="3333750"/>
                    </a:xfrm>
                    <a:prstGeom prst="rect">
                      <a:avLst/>
                    </a:prstGeom>
                  </pic:spPr>
                </pic:pic>
              </a:graphicData>
            </a:graphic>
          </wp:inline>
        </w:drawing>
      </w:r>
    </w:p>
    <w:p>
      <w:pPr>
        <w:pStyle w:val="ImageCaption"/>
        <w:rPr/>
      </w:pPr>
      <w:r>
        <w:rPr/>
        <w:t>Heures des vacataires : compteurs et récapitulatifs du mois</w:t>
      </w:r>
    </w:p>
    <w:p>
      <w:pPr>
        <w:pStyle w:val="Normal"/>
        <w:jc w:val="center"/>
        <w:rPr/>
      </w:pPr>
      <w:r>
        <w:rPr/>
        <w:drawing>
          <wp:inline distT="0" distB="0" distL="0" distR="0">
            <wp:extent cx="5334000" cy="3333750"/>
            <wp:effectExtent l="0" t="0" r="0" b="0"/>
            <wp:docPr id="71" name="Image71" descr="Les actions d’une ligne : (1) Détail, (2) Valider, (3) Rej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71" descr="Les actions d’une ligne : (1) Détail, (2) Valider, (3) Rejeter"/>
                    <pic:cNvPicPr>
                      <a:picLocks noChangeAspect="1" noChangeArrowheads="1"/>
                    </pic:cNvPicPr>
                  </pic:nvPicPr>
                  <pic:blipFill>
                    <a:blip r:embed="rId72"/>
                    <a:stretch>
                      <a:fillRect/>
                    </a:stretch>
                  </pic:blipFill>
                  <pic:spPr bwMode="auto">
                    <a:xfrm>
                      <a:off x="0" y="0"/>
                      <a:ext cx="5334000" cy="3333750"/>
                    </a:xfrm>
                    <a:prstGeom prst="rect">
                      <a:avLst/>
                    </a:prstGeom>
                  </pic:spPr>
                </pic:pic>
              </a:graphicData>
            </a:graphic>
          </wp:inline>
        </w:drawing>
      </w:r>
    </w:p>
    <w:p>
      <w:pPr>
        <w:pStyle w:val="ImageCaption"/>
        <w:rPr/>
      </w:pPr>
      <w:r>
        <w:rPr/>
        <w:t>Les actions d’une ligne : (1) Détail, (2) Valider, (3) Rejeter</w:t>
      </w:r>
    </w:p>
    <w:p>
      <w:pPr>
        <w:pStyle w:val="Normal"/>
        <w:jc w:val="center"/>
        <w:rPr/>
      </w:pPr>
      <w:r>
        <w:rPr/>
        <w:drawing>
          <wp:inline distT="0" distB="0" distL="0" distR="0">
            <wp:extent cx="5334000" cy="3333750"/>
            <wp:effectExtent l="0" t="0" r="0" b="0"/>
            <wp:docPr id="72" name="Image72" descr="Le détail des pointages d’un enseig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72" descr="Le détail des pointages d’un enseignant"/>
                    <pic:cNvPicPr>
                      <a:picLocks noChangeAspect="1" noChangeArrowheads="1"/>
                    </pic:cNvPicPr>
                  </pic:nvPicPr>
                  <pic:blipFill>
                    <a:blip r:embed="rId73"/>
                    <a:stretch>
                      <a:fillRect/>
                    </a:stretch>
                  </pic:blipFill>
                  <pic:spPr bwMode="auto">
                    <a:xfrm>
                      <a:off x="0" y="0"/>
                      <a:ext cx="5334000" cy="3333750"/>
                    </a:xfrm>
                    <a:prstGeom prst="rect">
                      <a:avLst/>
                    </a:prstGeom>
                  </pic:spPr>
                </pic:pic>
              </a:graphicData>
            </a:graphic>
          </wp:inline>
        </w:drawing>
      </w:r>
    </w:p>
    <w:p>
      <w:pPr>
        <w:pStyle w:val="ImageCaption"/>
        <w:rPr/>
      </w:pPr>
      <w:r>
        <w:rPr/>
        <w:t>Le détail des pointages d’un enseignant</w:t>
      </w:r>
    </w:p>
    <w:p>
      <w:pPr>
        <w:pStyle w:val="Normal"/>
        <w:jc w:val="center"/>
        <w:rPr/>
      </w:pPr>
      <w:r>
        <w:rPr/>
        <w:drawing>
          <wp:inline distT="0" distB="0" distL="0" distR="0">
            <wp:extent cx="5334000" cy="3333750"/>
            <wp:effectExtent l="0" t="0" r="0" b="0"/>
            <wp:docPr id="73" name="Image73" descr="Rejet d’un récapitulatif : le motif est obligato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73" descr="Rejet d’un récapitulatif : le motif est obligatoire"/>
                    <pic:cNvPicPr>
                      <a:picLocks noChangeAspect="1" noChangeArrowheads="1"/>
                    </pic:cNvPicPr>
                  </pic:nvPicPr>
                  <pic:blipFill>
                    <a:blip r:embed="rId74"/>
                    <a:stretch>
                      <a:fillRect/>
                    </a:stretch>
                  </pic:blipFill>
                  <pic:spPr bwMode="auto">
                    <a:xfrm>
                      <a:off x="0" y="0"/>
                      <a:ext cx="5334000" cy="3333750"/>
                    </a:xfrm>
                    <a:prstGeom prst="rect">
                      <a:avLst/>
                    </a:prstGeom>
                  </pic:spPr>
                </pic:pic>
              </a:graphicData>
            </a:graphic>
          </wp:inline>
        </w:drawing>
      </w:r>
    </w:p>
    <w:p>
      <w:pPr>
        <w:pStyle w:val="ImageCaption"/>
        <w:rPr/>
      </w:pPr>
      <w:r>
        <w:rPr/>
        <w:t>Rejet d’un récapitulatif : le motif est obligatoire</w:t>
      </w:r>
    </w:p>
    <w:p>
      <w:pPr>
        <w:pStyle w:val="Compact"/>
        <w:numPr>
          <w:ilvl w:val="0"/>
          <w:numId w:val="360"/>
        </w:numPr>
        <w:rPr/>
      </w:pPr>
      <w:r>
        <w:rPr/>
        <w:t xml:space="preserve">Ouvrez </w:t>
      </w:r>
      <w:r>
        <w:rPr>
          <w:b/>
          <w:bCs/>
        </w:rPr>
        <w:t>Finances</w:t>
      </w:r>
      <w:r>
        <w:rPr/>
        <w:t xml:space="preserve"> → </w:t>
      </w:r>
      <w:r>
        <w:rPr>
          <w:b/>
          <w:bCs/>
        </w:rPr>
        <w:t>Heures vacataires</w:t>
      </w:r>
      <w:r>
        <w:rPr/>
        <w:t>.</w:t>
      </w:r>
    </w:p>
    <w:p>
      <w:pPr>
        <w:pStyle w:val="Compact"/>
        <w:numPr>
          <w:ilvl w:val="0"/>
          <w:numId w:val="361"/>
        </w:numPr>
        <w:rPr/>
      </w:pPr>
      <w:r>
        <w:rPr/>
        <w:t>Choisissez le mois et l’année. Les compteurs indiquent : « À valider », « Non clôturés par les coordonnateurs », « Heures pointées », « Montant validé / total ».</w:t>
      </w:r>
    </w:p>
    <w:p>
      <w:pPr>
        <w:pStyle w:val="Compact"/>
        <w:numPr>
          <w:ilvl w:val="0"/>
          <w:numId w:val="362"/>
        </w:numPr>
        <w:rPr/>
      </w:pPr>
      <w:r>
        <w:rPr/>
        <w:t xml:space="preserve">Filtrez sur le « Statut » </w:t>
      </w:r>
      <w:r>
        <w:rPr>
          <w:i/>
          <w:iCs/>
        </w:rPr>
        <w:t>Clôturé</w:t>
      </w:r>
      <w:r>
        <w:rPr/>
        <w:t xml:space="preserve"> pour voir ce qui attend votre décision.</w:t>
      </w:r>
    </w:p>
    <w:p>
      <w:pPr>
        <w:pStyle w:val="Compact"/>
        <w:numPr>
          <w:ilvl w:val="0"/>
          <w:numId w:val="363"/>
        </w:numPr>
        <w:rPr/>
      </w:pPr>
      <w:r>
        <w:rPr/>
        <w:t xml:space="preserve">Pour chaque ligne (un formateur dans une filière), cliquez sur </w:t>
      </w:r>
      <w:r>
        <w:rPr>
          <w:b/>
          <w:bCs/>
        </w:rPr>
        <w:t>Détail</w:t>
      </w:r>
      <w:r>
        <w:rPr/>
        <w:t xml:space="preserve"> pour voir la liste des pointages (date, cours, arrivée, fin, heures).</w:t>
      </w:r>
    </w:p>
    <w:p>
      <w:pPr>
        <w:pStyle w:val="Compact"/>
        <w:numPr>
          <w:ilvl w:val="0"/>
          <w:numId w:val="364"/>
        </w:numPr>
        <w:rPr/>
      </w:pPr>
      <w:r>
        <w:rPr/>
        <w:t>Puis :</w:t>
      </w:r>
    </w:p>
    <w:p>
      <w:pPr>
        <w:pStyle w:val="Compact"/>
        <w:numPr>
          <w:ilvl w:val="1"/>
          <w:numId w:val="365"/>
        </w:numPr>
        <w:rPr/>
      </w:pPr>
      <w:r>
        <w:rPr>
          <w:b/>
          <w:bCs/>
        </w:rPr>
        <w:t>Valider</w:t>
      </w:r>
      <w:r>
        <w:rPr/>
        <w:t xml:space="preserve"> si tout est correct ;</w:t>
      </w:r>
    </w:p>
    <w:p>
      <w:pPr>
        <w:pStyle w:val="Compact"/>
        <w:numPr>
          <w:ilvl w:val="1"/>
          <w:numId w:val="366"/>
        </w:numPr>
        <w:rPr/>
      </w:pPr>
      <w:r>
        <w:rPr>
          <w:b/>
          <w:bCs/>
        </w:rPr>
        <w:t>Rejeter (renvoyer au coordonnateur)</w:t>
      </w:r>
      <w:r>
        <w:rPr/>
        <w:t xml:space="preserve"> sinon : saisissez obligatoirement le « Motif du rejet * » (ex. « Séance du 12 non prévue à l’emploi du temps »), puis </w:t>
      </w:r>
      <w:r>
        <w:rPr>
          <w:b/>
          <w:bCs/>
        </w:rPr>
        <w:t>Rejeter</w:t>
      </w:r>
      <w:r>
        <w:rPr/>
        <w:t xml:space="preserve">. Astuce : le bouton </w:t>
      </w:r>
      <w:r>
        <w:rPr>
          <w:b/>
          <w:bCs/>
        </w:rPr>
        <w:t>Valider tous les récaps clôturés (n)</w:t>
      </w:r>
      <w:r>
        <w:rPr/>
        <w:t xml:space="preserve"> valide en une fois tous les récapitulatifs clôturés du mois affiché, après vérification.</w:t>
      </w:r>
    </w:p>
    <w:p>
      <w:pPr>
        <w:pStyle w:val="Compact"/>
        <w:numPr>
          <w:ilvl w:val="0"/>
          <w:numId w:val="367"/>
        </w:numPr>
        <w:rPr/>
      </w:pPr>
      <w:r>
        <w:rPr/>
        <w:t xml:space="preserve">Quand tous les récaps du mois sont validés, cliquez sur </w:t>
      </w:r>
      <w:r>
        <w:rPr>
          <w:b/>
          <w:bCs/>
        </w:rPr>
        <w:t>Aller à la paie formateurs</w:t>
      </w:r>
      <w:r>
        <w:rPr/>
        <w:t xml:space="preserve"> et générez la campagne du mois (voir Salaires).</w:t>
      </w:r>
    </w:p>
    <w:p>
      <w:pPr>
        <w:pStyle w:val="EncadreAttention"/>
        <w:rPr/>
      </w:pPr>
      <w:r>
        <w:rPr>
          <w:b/>
          <w:bCs/>
        </w:rPr>
        <w:t>Coordonnateur en retard</w:t>
      </w:r>
    </w:p>
    <w:p>
      <w:pPr>
        <w:pStyle w:val="EncadreAttention"/>
        <w:rPr/>
      </w:pPr>
      <w:r>
        <w:rPr/>
        <w:t xml:space="preserve">Le compteur « Non clôturés par les coordonnateurs » signale les filières dont le mois n’est pas clôturé. Les heures non validées </w:t>
      </w:r>
      <w:r>
        <w:rPr>
          <w:b/>
          <w:bCs/>
        </w:rPr>
        <w:t>ne seront pas payées</w:t>
      </w:r>
      <w:r>
        <w:rPr/>
        <w:t xml:space="preserve"> par la campagne : relancez le coordonnateur avant de générer la paie.</w:t>
      </w:r>
    </w:p>
    <w:p>
      <w:pPr>
        <w:pStyle w:val="Normal"/>
        <w:spacing w:before="0" w:after="60"/>
        <w:rPr>
          <w:sz w:val="8"/>
        </w:rPr>
      </w:pPr>
      <w:r>
        <w:rPr>
          <w:sz w:val="8"/>
        </w:rPr>
      </w:r>
    </w:p>
    <w:p>
      <w:pPr>
        <w:pStyle w:val="EncadreInfo"/>
        <w:rPr/>
      </w:pPr>
      <w:r>
        <w:rPr>
          <w:b/>
          <w:bCs/>
        </w:rPr>
        <w:t>Après la génération de la campagne</w:t>
      </w:r>
    </w:p>
    <w:p>
      <w:pPr>
        <w:pStyle w:val="EncadreInfo"/>
        <w:rPr/>
      </w:pPr>
      <w:r>
        <w:rPr/>
        <w:t>Un récap déjà intégré à une campagne de paie ne peut plus être rejeté. Pour corriger, supprimez d’abord la campagne (si elle n’est pas payée), rejetez le récap, puis régénérez la campagne une fois le récap revalidé.</w:t>
      </w:r>
    </w:p>
    <w:p>
      <w:pPr>
        <w:pStyle w:val="Normal"/>
        <w:spacing w:before="0" w:after="60"/>
        <w:rPr>
          <w:sz w:val="8"/>
        </w:rPr>
      </w:pPr>
      <w:r>
        <w:rPr>
          <w:sz w:val="8"/>
        </w:rPr>
      </w:r>
      <w:bookmarkStart w:id="224" w:name="valider-les-heures-du-mois-finance"/>
      <w:bookmarkStart w:id="225" w:name="valider-les-heures-du-mois-finance"/>
      <w:bookmarkEnd w:id="225"/>
    </w:p>
    <w:p>
      <w:pPr>
        <w:pStyle w:val="Heading3"/>
        <w:rPr/>
      </w:pPr>
      <w:bookmarkStart w:id="226" w:name="ce-que-voit-lenseignant"/>
      <w:r>
        <w:rPr/>
        <w:t>Ce que voit l’enseignant</w:t>
      </w:r>
    </w:p>
    <w:p>
      <w:pPr>
        <w:pStyle w:val="FirstParagraph"/>
        <w:rPr/>
      </w:pPr>
      <w:r>
        <w:rPr/>
        <w:t xml:space="preserve">Chaque formateur suit ses heures en temps réel dans son portail, rubrique </w:t>
      </w:r>
      <w:r>
        <w:rPr>
          <w:b/>
          <w:bCs/>
        </w:rPr>
        <w:t>Mes heures</w:t>
      </w:r>
      <w:r>
        <w:rPr/>
        <w:t xml:space="preserve"> (heures effectuées, séances, absences, montant estimé, statut du récapitulatif). Voir Portail formateur.</w:t>
      </w:r>
      <w:bookmarkEnd w:id="221"/>
      <w:bookmarkEnd w:id="226"/>
    </w:p>
    <w:p>
      <w:pPr>
        <w:pStyle w:val="Heading2"/>
        <w:rPr/>
      </w:pPr>
      <w:bookmarkStart w:id="227" w:name="__RefHeading___Toc15180_1458957718"/>
      <w:bookmarkStart w:id="228" w:name="X0b6adf689862c48e15a67722f5a5d84a7704b29"/>
      <w:bookmarkEnd w:id="227"/>
      <w:r>
        <w:rPr/>
        <w:t>Administration — Inventaire et demandes de matériel</w:t>
      </w:r>
    </w:p>
    <w:p>
      <w:pPr>
        <w:pStyle w:val="FirstParagraph"/>
        <w:rPr/>
      </w:pPr>
      <w:r>
        <w:rPr>
          <w:b/>
          <w:bCs/>
        </w:rPr>
        <w:t>Menu :</w:t>
      </w:r>
      <w:r>
        <w:rPr/>
        <w:t xml:space="preserve"> Inventaire — </w:t>
      </w:r>
      <w:r>
        <w:rPr>
          <w:b/>
          <w:bCs/>
        </w:rPr>
        <w:t>Accès :</w:t>
      </w:r>
      <w:r>
        <w:rPr/>
        <w:t xml:space="preserve"> domaine </w:t>
      </w:r>
      <w:r>
        <w:rPr>
          <w:i/>
          <w:iCs/>
        </w:rPr>
        <w:t>Logistique / Inventaire</w:t>
      </w:r>
      <w:r>
        <w:rPr/>
        <w:t>.</w:t>
      </w:r>
    </w:p>
    <w:p>
      <w:pPr>
        <w:pStyle w:val="BodyText"/>
        <w:rPr/>
      </w:pPr>
      <w:r>
        <w:rPr/>
        <w:t xml:space="preserve">L’inventaire suit le matériel de l’établissement </w:t>
      </w:r>
      <w:r>
        <w:rPr>
          <w:b/>
          <w:bCs/>
        </w:rPr>
        <w:t>article par article</w:t>
      </w:r>
      <w:r>
        <w:rPr/>
        <w:t xml:space="preserve"> (ex. « Vidéoprojecteur ») et </w:t>
      </w:r>
      <w:r>
        <w:rPr>
          <w:b/>
          <w:bCs/>
        </w:rPr>
        <w:t>exemplaire par exemplaire</w:t>
      </w:r>
      <w:r>
        <w:rPr/>
        <w:t xml:space="preserve"> (chaque vidéoprojecteur physique, avec sa référence et son numéro de série). Quatre onglets : </w:t>
      </w:r>
      <w:r>
        <w:rPr>
          <w:i/>
          <w:iCs/>
        </w:rPr>
        <w:t>Articles &amp; Stock</w:t>
      </w:r>
      <w:r>
        <w:rPr/>
        <w:t xml:space="preserve">, </w:t>
      </w:r>
      <w:r>
        <w:rPr>
          <w:i/>
          <w:iCs/>
        </w:rPr>
        <w:t>Demandes</w:t>
      </w:r>
      <w:r>
        <w:rPr/>
        <w:t xml:space="preserve">, </w:t>
      </w:r>
      <w:r>
        <w:rPr>
          <w:i/>
          <w:iCs/>
        </w:rPr>
        <w:t>Mouvements</w:t>
      </w:r>
      <w:r>
        <w:rPr/>
        <w:t xml:space="preserve">, </w:t>
      </w:r>
      <w:r>
        <w:rPr>
          <w:i/>
          <w:iCs/>
        </w:rPr>
        <w:t>Statistiques</w:t>
      </w:r>
      <w:r>
        <w:rPr/>
        <w:t>.</w:t>
      </w:r>
    </w:p>
    <w:p>
      <w:pPr>
        <w:pStyle w:val="Heading3"/>
        <w:rPr/>
      </w:pPr>
      <w:bookmarkStart w:id="229" w:name="onglet-articles-stock"/>
      <w:r>
        <w:rPr/>
        <w:t xml:space="preserve">Onglet </w:t>
      </w:r>
      <w:r>
        <w:rPr>
          <w:i/>
          <w:iCs/>
        </w:rPr>
        <w:t>Articles &amp; Stock</w:t>
      </w:r>
    </w:p>
    <w:p>
      <w:pPr>
        <w:pStyle w:val="Normal"/>
        <w:jc w:val="center"/>
        <w:rPr/>
      </w:pPr>
      <w:r>
        <w:rPr/>
        <w:drawing>
          <wp:inline distT="0" distB="0" distL="0" distR="0">
            <wp:extent cx="5334000" cy="3333750"/>
            <wp:effectExtent l="0" t="0" r="0" b="0"/>
            <wp:docPr id="74" name="Image74" descr="L’onglet Articles &amp;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74" descr="L’onglet Articles &amp; Stock"/>
                    <pic:cNvPicPr>
                      <a:picLocks noChangeAspect="1" noChangeArrowheads="1"/>
                    </pic:cNvPicPr>
                  </pic:nvPicPr>
                  <pic:blipFill>
                    <a:blip r:embed="rId75"/>
                    <a:stretch>
                      <a:fillRect/>
                    </a:stretch>
                  </pic:blipFill>
                  <pic:spPr bwMode="auto">
                    <a:xfrm>
                      <a:off x="0" y="0"/>
                      <a:ext cx="5334000" cy="3333750"/>
                    </a:xfrm>
                    <a:prstGeom prst="rect">
                      <a:avLst/>
                    </a:prstGeom>
                  </pic:spPr>
                </pic:pic>
              </a:graphicData>
            </a:graphic>
          </wp:inline>
        </w:drawing>
      </w:r>
    </w:p>
    <w:p>
      <w:pPr>
        <w:pStyle w:val="ImageCaption"/>
        <w:rPr/>
      </w:pPr>
      <w:r>
        <w:rPr/>
        <w:t>L’onglet Articles &amp; Stock</w:t>
      </w:r>
    </w:p>
    <w:p>
      <w:pPr>
        <w:pStyle w:val="Heading4"/>
        <w:rPr/>
      </w:pPr>
      <w:bookmarkStart w:id="230" w:name="créer-un-article"/>
      <w:r>
        <w:rPr/>
        <w:t>Créer un article</w:t>
      </w:r>
    </w:p>
    <w:p>
      <w:pPr>
        <w:pStyle w:val="Compact"/>
        <w:numPr>
          <w:ilvl w:val="0"/>
          <w:numId w:val="368"/>
        </w:numPr>
        <w:rPr/>
      </w:pPr>
      <w:r>
        <w:rPr>
          <w:b/>
          <w:bCs/>
        </w:rPr>
        <w:t>Nouvel article</w:t>
      </w:r>
      <w:r>
        <w:rPr/>
        <w:t>.</w:t>
      </w:r>
    </w:p>
    <w:p>
      <w:pPr>
        <w:pStyle w:val="Compact"/>
        <w:numPr>
          <w:ilvl w:val="0"/>
          <w:numId w:val="369"/>
        </w:numPr>
        <w:rPr/>
      </w:pPr>
      <w:r>
        <w:rPr/>
        <w:t>Remplissez « Nom de l’article », « Description », « Catégorie », « Prix unitaire (FCFA) », « Fournisseur », « Seuil d’alerte » (stock minimal en dessous duquel l’article est signalé) et « Stock initial » (nombre d’exemplaires déjà possédés).</w:t>
      </w:r>
    </w:p>
    <w:p>
      <w:pPr>
        <w:pStyle w:val="Compact"/>
        <w:numPr>
          <w:ilvl w:val="0"/>
          <w:numId w:val="370"/>
        </w:numPr>
        <w:rPr/>
      </w:pPr>
      <w:r>
        <w:rPr/>
        <w:t>Enregistrez. Un exemplaire est créé pour chaque unité du stock initial.</w:t>
      </w:r>
    </w:p>
    <w:p>
      <w:pPr>
        <w:pStyle w:val="FirstParagraph"/>
        <w:rPr/>
      </w:pPr>
      <w:r>
        <w:rPr/>
        <w:t xml:space="preserve">Le tableau indique pour chaque article : Référence, Catégorie, </w:t>
      </w:r>
      <w:r>
        <w:rPr>
          <w:b/>
          <w:bCs/>
        </w:rPr>
        <w:t>En stock</w:t>
      </w:r>
      <w:r>
        <w:rPr/>
        <w:t xml:space="preserve">, </w:t>
      </w:r>
      <w:r>
        <w:rPr>
          <w:b/>
          <w:bCs/>
        </w:rPr>
        <w:t>Utilisés</w:t>
      </w:r>
      <w:r>
        <w:rPr/>
        <w:t xml:space="preserve">, </w:t>
      </w:r>
      <w:r>
        <w:rPr>
          <w:b/>
          <w:bCs/>
        </w:rPr>
        <w:t>En panne</w:t>
      </w:r>
      <w:r>
        <w:rPr/>
        <w:t>, Total, Prix unitaire.</w:t>
      </w:r>
      <w:bookmarkEnd w:id="230"/>
    </w:p>
    <w:p>
      <w:pPr>
        <w:pStyle w:val="Heading4"/>
        <w:rPr/>
      </w:pPr>
      <w:bookmarkStart w:id="231" w:name="ajouter-du-stock-nouvel-achat"/>
      <w:r>
        <w:rPr/>
        <w:t>Ajouter du stock (nouvel achat)</w:t>
      </w:r>
    </w:p>
    <w:p>
      <w:pPr>
        <w:pStyle w:val="FirstParagraph"/>
        <w:rPr/>
      </w:pPr>
      <w:r>
        <w:rPr/>
        <w:t xml:space="preserve">Icône </w:t>
      </w:r>
      <w:r>
        <w:rPr>
          <w:b/>
          <w:bCs/>
        </w:rPr>
        <w:t>Ajouter au stock</w:t>
      </w:r>
      <w:r>
        <w:rPr/>
        <w:t xml:space="preserve"> sur la ligne de l’article → indiquez la « Quantité », la « Condition », la « Localisation » et la « Date d’acquisition » → </w:t>
      </w:r>
      <w:r>
        <w:rPr>
          <w:b/>
          <w:bCs/>
        </w:rPr>
        <w:t>Ajouter</w:t>
      </w:r>
      <w:r>
        <w:rPr/>
        <w:t xml:space="preserve">. Un mouvement </w:t>
      </w:r>
      <w:r>
        <w:rPr>
          <w:i/>
          <w:iCs/>
        </w:rPr>
        <w:t>Entrée en stock</w:t>
      </w:r>
      <w:r>
        <w:rPr/>
        <w:t xml:space="preserve"> est enregistré.</w:t>
      </w:r>
      <w:bookmarkEnd w:id="231"/>
    </w:p>
    <w:p>
      <w:pPr>
        <w:pStyle w:val="Heading4"/>
        <w:rPr/>
      </w:pPr>
      <w:bookmarkStart w:id="232" w:name="gérer-les-exemplaires"/>
      <w:r>
        <w:rPr/>
        <w:t>Gérer les exemplaires</w:t>
      </w:r>
    </w:p>
    <w:p>
      <w:pPr>
        <w:pStyle w:val="Normal"/>
        <w:jc w:val="center"/>
        <w:rPr/>
      </w:pPr>
      <w:r>
        <w:rPr/>
        <w:drawing>
          <wp:inline distT="0" distB="0" distL="0" distR="0">
            <wp:extent cx="5334000" cy="3333750"/>
            <wp:effectExtent l="0" t="0" r="0" b="0"/>
            <wp:docPr id="75" name="Image75" descr="Les exemplaires d’un 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75" descr="Les exemplaires d’un article"/>
                    <pic:cNvPicPr>
                      <a:picLocks noChangeAspect="1" noChangeArrowheads="1"/>
                    </pic:cNvPicPr>
                  </pic:nvPicPr>
                  <pic:blipFill>
                    <a:blip r:embed="rId76"/>
                    <a:stretch>
                      <a:fillRect/>
                    </a:stretch>
                  </pic:blipFill>
                  <pic:spPr bwMode="auto">
                    <a:xfrm>
                      <a:off x="0" y="0"/>
                      <a:ext cx="5334000" cy="3333750"/>
                    </a:xfrm>
                    <a:prstGeom prst="rect">
                      <a:avLst/>
                    </a:prstGeom>
                  </pic:spPr>
                </pic:pic>
              </a:graphicData>
            </a:graphic>
          </wp:inline>
        </w:drawing>
      </w:r>
    </w:p>
    <w:p>
      <w:pPr>
        <w:pStyle w:val="ImageCaption"/>
        <w:rPr/>
      </w:pPr>
      <w:r>
        <w:rPr/>
        <w:t>Les exemplaires d’un article</w:t>
      </w:r>
    </w:p>
    <w:p>
      <w:pPr>
        <w:pStyle w:val="BodyText"/>
        <w:rPr/>
      </w:pPr>
      <w:r>
        <w:rPr/>
        <w:t>En ouvrant un article, la liste de ses exemplaires apparaît (Réf., N° Série, Statut, Condition, Localisation, Attribué à). Actions possibles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702"/>
        <w:gridCol w:w="5935"/>
      </w:tblGrid>
      <w:tr>
        <w:trPr>
          <w:tblHeader w:val="true"/>
          <w:cantSplit w:val="true"/>
        </w:trPr>
        <w:tc>
          <w:tcPr>
            <w:tcW w:w="370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Icône</w:t>
            </w:r>
          </w:p>
        </w:tc>
        <w:tc>
          <w:tcPr>
            <w:tcW w:w="593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Effet</w:t>
            </w:r>
          </w:p>
        </w:tc>
      </w:tr>
      <w:tr>
        <w:trPr>
          <w:cantSplit w:val="true"/>
        </w:trPr>
        <w:tc>
          <w:tcPr>
            <w:tcW w:w="370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Modifier N° série / Description</w:t>
            </w:r>
          </w:p>
        </w:tc>
        <w:tc>
          <w:tcPr>
            <w:tcW w:w="5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Compléter la fiche de l’exemplaire.</w:t>
            </w:r>
          </w:p>
        </w:tc>
      </w:tr>
      <w:tr>
        <w:trPr>
          <w:cantSplit w:val="true"/>
        </w:trPr>
        <w:tc>
          <w:tcPr>
            <w:tcW w:w="370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Marquer en panne</w:t>
            </w:r>
          </w:p>
        </w:tc>
        <w:tc>
          <w:tcPr>
            <w:tcW w:w="5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Statut </w:t>
            </w:r>
            <w:r>
              <w:rPr>
                <w:rFonts w:eastAsia="Calibri" w:cs="Calibri"/>
                <w:i/>
                <w:iCs/>
                <w:kern w:val="0"/>
                <w:sz w:val="19"/>
                <w:szCs w:val="19"/>
                <w:lang w:val="fr-FR" w:eastAsia="en-US" w:bidi="ar-SA"/>
              </w:rPr>
              <w:t>En panne</w:t>
            </w:r>
            <w:r>
              <w:rPr>
                <w:rFonts w:eastAsia="Calibri" w:cs="Calibri"/>
                <w:kern w:val="0"/>
                <w:sz w:val="19"/>
                <w:szCs w:val="19"/>
                <w:lang w:val="fr-FR" w:eastAsia="en-US" w:bidi="ar-SA"/>
              </w:rPr>
              <w:t xml:space="preserve"> : il n’est plus disponible.</w:t>
            </w:r>
          </w:p>
        </w:tc>
      </w:tr>
      <w:tr>
        <w:trPr>
          <w:cantSplit w:val="true"/>
        </w:trPr>
        <w:tc>
          <w:tcPr>
            <w:tcW w:w="370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Retourner en stock / Remettre en stock</w:t>
            </w:r>
          </w:p>
        </w:tc>
        <w:tc>
          <w:tcPr>
            <w:tcW w:w="5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L’exemplaire attribué ou réparé redevient disponible.</w:t>
            </w:r>
          </w:p>
        </w:tc>
      </w:tr>
      <w:tr>
        <w:trPr>
          <w:cantSplit w:val="true"/>
        </w:trPr>
        <w:tc>
          <w:tcPr>
            <w:tcW w:w="370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Réformer</w:t>
            </w:r>
          </w:p>
        </w:tc>
        <w:tc>
          <w:tcPr>
            <w:tcW w:w="5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Sortie définitive de l’inventaire (matériel hors d’usage, vendu, perdu).</w:t>
            </w:r>
          </w:p>
        </w:tc>
      </w:tr>
    </w:tbl>
    <w:p>
      <w:pPr>
        <w:pStyle w:val="BodyText"/>
        <w:rPr/>
      </w:pPr>
      <w:r>
        <w:rPr/>
        <w:t xml:space="preserve">Statuts possibles : </w:t>
      </w:r>
      <w:r>
        <w:rPr>
          <w:i/>
          <w:iCs/>
        </w:rPr>
        <w:t>En stock</w:t>
      </w:r>
      <w:r>
        <w:rPr/>
        <w:t xml:space="preserve">, </w:t>
      </w:r>
      <w:r>
        <w:rPr>
          <w:i/>
          <w:iCs/>
        </w:rPr>
        <w:t>En utilisation</w:t>
      </w:r>
      <w:r>
        <w:rPr/>
        <w:t xml:space="preserve">, </w:t>
      </w:r>
      <w:r>
        <w:rPr>
          <w:i/>
          <w:iCs/>
        </w:rPr>
        <w:t>En panne</w:t>
      </w:r>
      <w:r>
        <w:rPr/>
        <w:t xml:space="preserve">, </w:t>
      </w:r>
      <w:r>
        <w:rPr>
          <w:i/>
          <w:iCs/>
        </w:rPr>
        <w:t>En maintenance</w:t>
      </w:r>
      <w:r>
        <w:rPr/>
        <w:t xml:space="preserve">, </w:t>
      </w:r>
      <w:r>
        <w:rPr>
          <w:i/>
          <w:iCs/>
        </w:rPr>
        <w:t>Réformé</w:t>
      </w:r>
      <w:r>
        <w:rPr/>
        <w:t>.</w:t>
      </w:r>
      <w:bookmarkEnd w:id="229"/>
      <w:bookmarkEnd w:id="232"/>
    </w:p>
    <w:p>
      <w:pPr>
        <w:pStyle w:val="Heading3"/>
        <w:rPr/>
      </w:pPr>
      <w:bookmarkStart w:id="233" w:name="onglet-demandes-demandes-de-matériel"/>
      <w:bookmarkEnd w:id="233"/>
      <w:r>
        <w:rPr/>
        <w:t xml:space="preserve">Onglet </w:t>
      </w:r>
      <w:r>
        <w:rPr>
          <w:i/>
          <w:iCs/>
        </w:rPr>
        <w:t>Demandes</w:t>
      </w:r>
      <w:r>
        <w:rPr/>
        <w:t xml:space="preserve"> — demandes de matériel</w:t>
      </w:r>
    </w:p>
    <w:p>
      <w:pPr>
        <w:pStyle w:val="Normal"/>
        <w:jc w:val="center"/>
        <w:rPr/>
      </w:pPr>
      <w:r>
        <w:rPr/>
        <w:drawing>
          <wp:inline distT="0" distB="0" distL="0" distR="0">
            <wp:extent cx="5334000" cy="3333750"/>
            <wp:effectExtent l="0" t="0" r="0" b="0"/>
            <wp:docPr id="76" name="Image76" descr="L’onglet Deman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76" descr="L’onglet Demandes"/>
                    <pic:cNvPicPr>
                      <a:picLocks noChangeAspect="1" noChangeArrowheads="1"/>
                    </pic:cNvPicPr>
                  </pic:nvPicPr>
                  <pic:blipFill>
                    <a:blip r:embed="rId77"/>
                    <a:stretch>
                      <a:fillRect/>
                    </a:stretch>
                  </pic:blipFill>
                  <pic:spPr bwMode="auto">
                    <a:xfrm>
                      <a:off x="0" y="0"/>
                      <a:ext cx="5334000" cy="3333750"/>
                    </a:xfrm>
                    <a:prstGeom prst="rect">
                      <a:avLst/>
                    </a:prstGeom>
                  </pic:spPr>
                </pic:pic>
              </a:graphicData>
            </a:graphic>
          </wp:inline>
        </w:drawing>
      </w:r>
    </w:p>
    <w:p>
      <w:pPr>
        <w:pStyle w:val="ImageCaption"/>
        <w:rPr/>
      </w:pPr>
      <w:r>
        <w:rPr/>
        <w:t>L’onglet Demandes</w:t>
      </w:r>
    </w:p>
    <w:p>
      <w:pPr>
        <w:pStyle w:val="BodyText"/>
        <w:rPr/>
      </w:pPr>
      <w:r>
        <w:rPr/>
        <w:t xml:space="preserve">Une </w:t>
      </w:r>
      <w:r>
        <w:rPr>
          <w:b/>
          <w:bCs/>
        </w:rPr>
        <w:t>demande</w:t>
      </w:r>
      <w:r>
        <w:rPr/>
        <w:t xml:space="preserve"> permet à un formateur ou à un membre du personnel d’obtenir du matériel. Elle suit ce circuit :</w:t>
      </w:r>
    </w:p>
    <w:p>
      <w:pPr>
        <w:pStyle w:val="Normal"/>
        <w:jc w:val="center"/>
        <w:rPr/>
      </w:pPr>
      <w:r>
        <w:rPr/>
        <w:drawing>
          <wp:inline distT="0" distB="0" distL="0" distR="0">
            <wp:extent cx="5334000" cy="1013460"/>
            <wp:effectExtent l="0" t="0" r="0" b="0"/>
            <wp:docPr id="77" name="Image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77" descr=""/>
                    <pic:cNvPicPr>
                      <a:picLocks noChangeAspect="1" noChangeArrowheads="1"/>
                    </pic:cNvPicPr>
                  </pic:nvPicPr>
                  <pic:blipFill>
                    <a:blip r:embed="rId78"/>
                    <a:stretch>
                      <a:fillRect/>
                    </a:stretch>
                  </pic:blipFill>
                  <pic:spPr bwMode="auto">
                    <a:xfrm>
                      <a:off x="0" y="0"/>
                      <a:ext cx="5334000" cy="1013460"/>
                    </a:xfrm>
                    <a:prstGeom prst="rect">
                      <a:avLst/>
                    </a:prstGeom>
                  </pic:spPr>
                </pic:pic>
              </a:graphicData>
            </a:graphic>
          </wp:inline>
        </w:drawing>
      </w:r>
    </w:p>
    <w:p>
      <w:pPr>
        <w:pStyle w:val="Heading4"/>
        <w:rPr/>
      </w:pPr>
      <w:bookmarkStart w:id="234" w:name="créer-une-demande"/>
      <w:r>
        <w:rPr/>
        <w:t>Créer une demande</w:t>
      </w:r>
    </w:p>
    <w:p>
      <w:pPr>
        <w:pStyle w:val="Normal"/>
        <w:jc w:val="center"/>
        <w:rPr/>
      </w:pPr>
      <w:r>
        <w:rPr/>
        <w:drawing>
          <wp:inline distT="0" distB="0" distL="0" distR="0">
            <wp:extent cx="5334000" cy="3333750"/>
            <wp:effectExtent l="0" t="0" r="0" b="0"/>
            <wp:docPr id="78" name="Image78" descr="L’assistant « Nouvelle demande d’artic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78" descr="L’assistant « Nouvelle demande d’articles »"/>
                    <pic:cNvPicPr>
                      <a:picLocks noChangeAspect="1" noChangeArrowheads="1"/>
                    </pic:cNvPicPr>
                  </pic:nvPicPr>
                  <pic:blipFill>
                    <a:blip r:embed="rId79"/>
                    <a:stretch>
                      <a:fillRect/>
                    </a:stretch>
                  </pic:blipFill>
                  <pic:spPr bwMode="auto">
                    <a:xfrm>
                      <a:off x="0" y="0"/>
                      <a:ext cx="5334000" cy="3333750"/>
                    </a:xfrm>
                    <a:prstGeom prst="rect">
                      <a:avLst/>
                    </a:prstGeom>
                  </pic:spPr>
                </pic:pic>
              </a:graphicData>
            </a:graphic>
          </wp:inline>
        </w:drawing>
      </w:r>
    </w:p>
    <w:p>
      <w:pPr>
        <w:pStyle w:val="ImageCaption"/>
        <w:rPr/>
      </w:pPr>
      <w:r>
        <w:rPr/>
        <w:t>L’assistant « Nouvelle demande d’articles »</w:t>
      </w:r>
    </w:p>
    <w:p>
      <w:pPr>
        <w:pStyle w:val="Compact"/>
        <w:numPr>
          <w:ilvl w:val="0"/>
          <w:numId w:val="371"/>
        </w:numPr>
        <w:rPr/>
      </w:pPr>
      <w:r>
        <w:rPr>
          <w:b/>
          <w:bCs/>
        </w:rPr>
        <w:t>Nouvelle demande</w:t>
      </w:r>
      <w:r>
        <w:rPr/>
        <w:t>. L’assistant comporte plusieurs étapes (</w:t>
      </w:r>
      <w:r>
        <w:rPr>
          <w:b/>
          <w:bCs/>
        </w:rPr>
        <w:t>Suivant</w:t>
      </w:r>
      <w:r>
        <w:rPr/>
        <w:t xml:space="preserve"> / </w:t>
      </w:r>
      <w:r>
        <w:rPr>
          <w:b/>
          <w:bCs/>
        </w:rPr>
        <w:t>Précédent</w:t>
      </w:r>
      <w:r>
        <w:rPr/>
        <w:t>).</w:t>
      </w:r>
    </w:p>
    <w:p>
      <w:pPr>
        <w:pStyle w:val="Compact"/>
        <w:numPr>
          <w:ilvl w:val="0"/>
          <w:numId w:val="372"/>
        </w:numPr>
        <w:rPr/>
      </w:pPr>
      <w:r>
        <w:rPr/>
        <w:t>Renseignez l’« Objet de la demande », le « Motif / Justification », le « Demandeur » et la « Priorité » (Basse, Normale, Haute, Urgente).</w:t>
      </w:r>
    </w:p>
    <w:p>
      <w:pPr>
        <w:pStyle w:val="Compact"/>
        <w:numPr>
          <w:ilvl w:val="0"/>
          <w:numId w:val="373"/>
        </w:numPr>
        <w:rPr/>
      </w:pPr>
      <w:r>
        <w:rPr/>
        <w:t>Ajoutez les articles : choisissez l’« Article », la « Qté », éventuellement des « Notes ». Répétez pour chaque article.</w:t>
      </w:r>
    </w:p>
    <w:p>
      <w:pPr>
        <w:pStyle w:val="Compact"/>
        <w:numPr>
          <w:ilvl w:val="0"/>
          <w:numId w:val="374"/>
        </w:numPr>
        <w:rPr/>
      </w:pPr>
      <w:r>
        <w:rPr/>
        <w:t>Vérifiez le récapitulatif (« Vérifiez les informations avant de soumettre la demande. ») puis validez.</w:t>
      </w:r>
    </w:p>
    <w:p>
      <w:pPr>
        <w:pStyle w:val="FirstParagraph"/>
        <w:rPr/>
      </w:pPr>
      <w:r>
        <w:rPr/>
        <w:t>Chaque demande reçoit une référence unique (</w:t>
      </w:r>
      <w:r>
        <w:rPr>
          <w:rStyle w:val="VerbatimChar"/>
        </w:rPr>
        <w:t>DEM-…</w:t>
      </w:r>
      <w:r>
        <w:rPr/>
        <w:t>).</w:t>
      </w:r>
      <w:bookmarkEnd w:id="234"/>
    </w:p>
    <w:p>
      <w:pPr>
        <w:pStyle w:val="Heading4"/>
        <w:rPr/>
      </w:pPr>
      <w:bookmarkStart w:id="235" w:name="traiter-une-demande"/>
      <w:bookmarkEnd w:id="235"/>
      <w:r>
        <w:rPr/>
        <w:t>Traiter une demande</w:t>
      </w:r>
    </w:p>
    <w:p>
      <w:pPr>
        <w:pStyle w:val="FirstParagraph"/>
        <w:rPr/>
      </w:pPr>
      <w:r>
        <w:rPr/>
        <w:t>Sur la ligne de la demande :</w:t>
      </w:r>
    </w:p>
    <w:p>
      <w:pPr>
        <w:pStyle w:val="Compact"/>
        <w:numPr>
          <w:ilvl w:val="0"/>
          <w:numId w:val="375"/>
        </w:numPr>
        <w:rPr/>
      </w:pPr>
      <w:r>
        <w:rPr>
          <w:b/>
          <w:bCs/>
        </w:rPr>
        <w:t>Soumettre</w:t>
      </w:r>
      <w:r>
        <w:rPr/>
        <w:t xml:space="preserve"> (si elle est en brouillon).</w:t>
      </w:r>
    </w:p>
    <w:p>
      <w:pPr>
        <w:pStyle w:val="Compact"/>
        <w:numPr>
          <w:ilvl w:val="0"/>
          <w:numId w:val="376"/>
        </w:numPr>
        <w:rPr/>
      </w:pPr>
      <w:r>
        <w:rPr>
          <w:b/>
          <w:bCs/>
        </w:rPr>
        <w:t>Approuver</w:t>
      </w:r>
      <w:r>
        <w:rPr/>
        <w:t xml:space="preserve"> ou </w:t>
      </w:r>
      <w:r>
        <w:rPr>
          <w:b/>
          <w:bCs/>
        </w:rPr>
        <w:t>Refuser</w:t>
      </w:r>
      <w:r>
        <w:rPr/>
        <w:t xml:space="preserve"> (saisir le « Motif du refus »).</w:t>
      </w:r>
    </w:p>
    <w:p>
      <w:pPr>
        <w:pStyle w:val="Compact"/>
        <w:numPr>
          <w:ilvl w:val="0"/>
          <w:numId w:val="377"/>
        </w:numPr>
        <w:rPr/>
      </w:pPr>
      <w:r>
        <w:rPr>
          <w:b/>
          <w:bCs/>
        </w:rPr>
        <w:t>Livrer</w:t>
      </w:r>
      <w:r>
        <w:rPr/>
        <w:t xml:space="preserve"> : les exemplaires disponibles sont attribués au demandeur (statut </w:t>
      </w:r>
      <w:r>
        <w:rPr>
          <w:i/>
          <w:iCs/>
        </w:rPr>
        <w:t>En utilisation</w:t>
      </w:r>
      <w:r>
        <w:rPr/>
        <w:t xml:space="preserve">) et un mouvement </w:t>
      </w:r>
      <w:r>
        <w:rPr>
          <w:i/>
          <w:iCs/>
        </w:rPr>
        <w:t>Sortie / Attribution</w:t>
      </w:r>
      <w:r>
        <w:rPr/>
        <w:t xml:space="preserve"> est enregistré.</w:t>
      </w:r>
    </w:p>
    <w:p>
      <w:pPr>
        <w:pStyle w:val="EncadreAttention"/>
        <w:rPr/>
      </w:pPr>
      <w:r>
        <w:rPr>
          <w:b/>
          <w:bCs/>
        </w:rPr>
        <w:t>Attention</w:t>
      </w:r>
    </w:p>
    <w:p>
      <w:pPr>
        <w:pStyle w:val="EncadreAttention"/>
        <w:rPr/>
      </w:pPr>
      <w:r>
        <w:rPr/>
        <w:t xml:space="preserve">Si le stock disponible est insuffisant pour </w:t>
      </w:r>
      <w:r>
        <w:rPr>
          <w:b/>
          <w:bCs/>
        </w:rPr>
        <w:t>une seule</w:t>
      </w:r>
      <w:r>
        <w:rPr/>
        <w:t xml:space="preserve"> ligne, la livraison entière est refusée (« Stock insuffisant, aucune sortie effectuée. ») avec le détail par article (ex. « Chaise : seulement 2/4 disponibles »). Ajoutez du stock puis cliquez de nouveau sur </w:t>
      </w:r>
      <w:r>
        <w:rPr>
          <w:b/>
          <w:bCs/>
        </w:rPr>
        <w:t>Livrer</w:t>
      </w:r>
      <w:r>
        <w:rPr/>
        <w:t>.</w:t>
      </w:r>
    </w:p>
    <w:p>
      <w:pPr>
        <w:pStyle w:val="Normal"/>
        <w:spacing w:before="0" w:after="60"/>
        <w:rPr>
          <w:sz w:val="8"/>
        </w:rPr>
      </w:pPr>
      <w:r>
        <w:rPr>
          <w:sz w:val="8"/>
        </w:rPr>
      </w:r>
      <w:bookmarkStart w:id="236" w:name="onglet-demandes-demandes-de-matériel"/>
      <w:bookmarkStart w:id="237" w:name="traiter-une-demande"/>
      <w:bookmarkStart w:id="238" w:name="onglet-demandes-demandes-de-matériel"/>
      <w:bookmarkStart w:id="239" w:name="traiter-une-demande"/>
      <w:bookmarkEnd w:id="238"/>
      <w:bookmarkEnd w:id="239"/>
    </w:p>
    <w:p>
      <w:pPr>
        <w:pStyle w:val="Heading3"/>
        <w:rPr/>
      </w:pPr>
      <w:bookmarkStart w:id="240" w:name="onglet-mouvements"/>
      <w:r>
        <w:rPr/>
        <w:t xml:space="preserve">Onglet </w:t>
      </w:r>
      <w:r>
        <w:rPr>
          <w:i/>
          <w:iCs/>
        </w:rPr>
        <w:t>Mouvements</w:t>
      </w:r>
    </w:p>
    <w:p>
      <w:pPr>
        <w:pStyle w:val="Normal"/>
        <w:jc w:val="center"/>
        <w:rPr/>
      </w:pPr>
      <w:r>
        <w:rPr/>
        <w:drawing>
          <wp:inline distT="0" distB="0" distL="0" distR="0">
            <wp:extent cx="5334000" cy="3333750"/>
            <wp:effectExtent l="0" t="0" r="0" b="0"/>
            <wp:docPr id="79" name="Image79" descr="Le journal des mou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79" descr="Le journal des mouvements"/>
                    <pic:cNvPicPr>
                      <a:picLocks noChangeAspect="1" noChangeArrowheads="1"/>
                    </pic:cNvPicPr>
                  </pic:nvPicPr>
                  <pic:blipFill>
                    <a:blip r:embed="rId80"/>
                    <a:stretch>
                      <a:fillRect/>
                    </a:stretch>
                  </pic:blipFill>
                  <pic:spPr bwMode="auto">
                    <a:xfrm>
                      <a:off x="0" y="0"/>
                      <a:ext cx="5334000" cy="3333750"/>
                    </a:xfrm>
                    <a:prstGeom prst="rect">
                      <a:avLst/>
                    </a:prstGeom>
                  </pic:spPr>
                </pic:pic>
              </a:graphicData>
            </a:graphic>
          </wp:inline>
        </w:drawing>
      </w:r>
    </w:p>
    <w:p>
      <w:pPr>
        <w:pStyle w:val="ImageCaption"/>
        <w:rPr/>
      </w:pPr>
      <w:r>
        <w:rPr/>
        <w:t>Le journal des mouvements</w:t>
      </w:r>
    </w:p>
    <w:p>
      <w:pPr>
        <w:pStyle w:val="BodyText"/>
        <w:rPr/>
      </w:pPr>
      <w:r>
        <w:rPr/>
        <w:t>Le journal de toutes les opérations : Date, Exemplaire, Type (</w:t>
      </w:r>
      <w:r>
        <w:rPr>
          <w:i/>
          <w:iCs/>
        </w:rPr>
        <w:t>Entrée en stock</w:t>
      </w:r>
      <w:r>
        <w:rPr/>
        <w:t xml:space="preserve">, </w:t>
      </w:r>
      <w:r>
        <w:rPr>
          <w:i/>
          <w:iCs/>
        </w:rPr>
        <w:t>Sortie / Attribution</w:t>
      </w:r>
      <w:r>
        <w:rPr/>
        <w:t xml:space="preserve">, </w:t>
      </w:r>
      <w:r>
        <w:rPr>
          <w:i/>
          <w:iCs/>
        </w:rPr>
        <w:t>Retour en stock</w:t>
      </w:r>
      <w:r>
        <w:rPr/>
        <w:t xml:space="preserve">, </w:t>
      </w:r>
      <w:r>
        <w:rPr>
          <w:i/>
          <w:iCs/>
        </w:rPr>
        <w:t>Transfert</w:t>
      </w:r>
      <w:r>
        <w:rPr/>
        <w:t xml:space="preserve">, </w:t>
      </w:r>
      <w:r>
        <w:rPr>
          <w:i/>
          <w:iCs/>
        </w:rPr>
        <w:t>Envoi en maintenance</w:t>
      </w:r>
      <w:r>
        <w:rPr/>
        <w:t xml:space="preserve">, </w:t>
      </w:r>
      <w:r>
        <w:rPr>
          <w:i/>
          <w:iCs/>
        </w:rPr>
        <w:t>Réforme</w:t>
      </w:r>
      <w:r>
        <w:rPr/>
        <w:t>), Motif, Destinataire. Il sert de traçabilité en cas de contrôle ou de perte.</w:t>
      </w:r>
      <w:bookmarkEnd w:id="240"/>
    </w:p>
    <w:p>
      <w:pPr>
        <w:pStyle w:val="Heading3"/>
        <w:rPr/>
      </w:pPr>
      <w:bookmarkStart w:id="241" w:name="onglet-statistiques"/>
      <w:r>
        <w:rPr/>
        <w:t xml:space="preserve">Onglet </w:t>
      </w:r>
      <w:r>
        <w:rPr>
          <w:i/>
          <w:iCs/>
        </w:rPr>
        <w:t>Statistiques</w:t>
      </w:r>
    </w:p>
    <w:p>
      <w:pPr>
        <w:pStyle w:val="Normal"/>
        <w:jc w:val="center"/>
        <w:rPr/>
      </w:pPr>
      <w:r>
        <w:rPr/>
        <w:drawing>
          <wp:inline distT="0" distB="0" distL="0" distR="0">
            <wp:extent cx="5334000" cy="3333750"/>
            <wp:effectExtent l="0" t="0" r="0" b="0"/>
            <wp:docPr id="80" name="Image80" descr="Les statistiques de l’invent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80" descr="Les statistiques de l’inventaire"/>
                    <pic:cNvPicPr>
                      <a:picLocks noChangeAspect="1" noChangeArrowheads="1"/>
                    </pic:cNvPicPr>
                  </pic:nvPicPr>
                  <pic:blipFill>
                    <a:blip r:embed="rId81"/>
                    <a:stretch>
                      <a:fillRect/>
                    </a:stretch>
                  </pic:blipFill>
                  <pic:spPr bwMode="auto">
                    <a:xfrm>
                      <a:off x="0" y="0"/>
                      <a:ext cx="5334000" cy="3333750"/>
                    </a:xfrm>
                    <a:prstGeom prst="rect">
                      <a:avLst/>
                    </a:prstGeom>
                  </pic:spPr>
                </pic:pic>
              </a:graphicData>
            </a:graphic>
          </wp:inline>
        </w:drawing>
      </w:r>
    </w:p>
    <w:p>
      <w:pPr>
        <w:pStyle w:val="ImageCaption"/>
        <w:rPr/>
      </w:pPr>
      <w:r>
        <w:rPr/>
        <w:t>Les statistiques de l’inventaire</w:t>
      </w:r>
    </w:p>
    <w:p>
      <w:pPr>
        <w:pStyle w:val="BodyText"/>
        <w:rPr/>
      </w:pPr>
      <w:bookmarkStart w:id="242" w:name="X0b6adf689862c48e15a67722f5a5d84a7704b29"/>
      <w:bookmarkStart w:id="243" w:name="onglet-statistiques"/>
      <w:r>
        <w:rPr/>
        <w:t>Par article : nombre d’exemplaires, en utilisation, taux d’utilisation, stock disponible. Utile pour planifier les achats.</w:t>
      </w:r>
      <w:bookmarkEnd w:id="242"/>
      <w:bookmarkEnd w:id="243"/>
    </w:p>
    <w:p>
      <w:pPr>
        <w:pStyle w:val="Heading2"/>
        <w:rPr/>
      </w:pPr>
      <w:bookmarkStart w:id="244" w:name="__RefHeading___Toc15182_1458957718"/>
      <w:bookmarkEnd w:id="244"/>
      <w:r>
        <w:rPr/>
        <w:t>Administration — Personnel et congés</w:t>
      </w:r>
    </w:p>
    <w:p>
      <w:pPr>
        <w:pStyle w:val="FirstParagraph"/>
        <w:rPr/>
      </w:pPr>
      <w:r>
        <w:rPr>
          <w:b/>
          <w:bCs/>
        </w:rPr>
        <w:t>Menus :</w:t>
      </w:r>
      <w:r>
        <w:rPr/>
        <w:t xml:space="preserve"> Personnel → Liste du personnel, et Personnel → Congés et absences — </w:t>
      </w:r>
      <w:r>
        <w:rPr>
          <w:b/>
          <w:bCs/>
        </w:rPr>
        <w:t>Accès :</w:t>
      </w:r>
      <w:r>
        <w:rPr/>
        <w:t xml:space="preserve"> domaine </w:t>
      </w:r>
      <w:r>
        <w:rPr>
          <w:i/>
          <w:iCs/>
        </w:rPr>
        <w:t>Ressources Humaines</w:t>
      </w:r>
      <w:r>
        <w:rPr/>
        <w:t>.</w:t>
      </w:r>
    </w:p>
    <w:p>
      <w:pPr>
        <w:pStyle w:val="Heading3"/>
        <w:rPr/>
      </w:pPr>
      <w:bookmarkStart w:id="245" w:name="liste-du-personnel"/>
      <w:bookmarkEnd w:id="245"/>
      <w:r>
        <w:rPr/>
        <w:t>Liste du personnel</w:t>
      </w:r>
    </w:p>
    <w:p>
      <w:pPr>
        <w:pStyle w:val="FirstParagraph"/>
        <w:rPr/>
      </w:pPr>
      <w:r>
        <w:rPr/>
        <w:t xml:space="preserve">La page « Gestion du Personnel » contient les employés </w:t>
      </w:r>
      <w:r>
        <w:rPr>
          <w:b/>
          <w:bCs/>
        </w:rPr>
        <w:t>non enseignants</w:t>
      </w:r>
      <w:r>
        <w:rPr/>
        <w:t xml:space="preserve"> (secrétariat, comptabilité, entretien, sécurité…). Les enseignants se gèrent dans Enseignants.</w:t>
      </w:r>
    </w:p>
    <w:p>
      <w:pPr>
        <w:pStyle w:val="Heading4"/>
        <w:rPr/>
      </w:pPr>
      <w:bookmarkStart w:id="246" w:name="ajouter-un-membre-du-personnel"/>
      <w:bookmarkEnd w:id="246"/>
      <w:r>
        <w:rPr/>
        <w:t>Ajouter un membre du personnel</w:t>
      </w:r>
    </w:p>
    <w:p>
      <w:pPr>
        <w:pStyle w:val="Normal"/>
        <w:jc w:val="center"/>
        <w:rPr/>
      </w:pPr>
      <w:r>
        <w:rPr/>
        <w:drawing>
          <wp:inline distT="0" distB="0" distL="0" distR="0">
            <wp:extent cx="5334000" cy="3333750"/>
            <wp:effectExtent l="0" t="0" r="0" b="0"/>
            <wp:docPr id="81" name="Image81" descr="La page « Gestion du Person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81" descr="La page « Gestion du Personnel »"/>
                    <pic:cNvPicPr>
                      <a:picLocks noChangeAspect="1" noChangeArrowheads="1"/>
                    </pic:cNvPicPr>
                  </pic:nvPicPr>
                  <pic:blipFill>
                    <a:blip r:embed="rId82"/>
                    <a:stretch>
                      <a:fillRect/>
                    </a:stretch>
                  </pic:blipFill>
                  <pic:spPr bwMode="auto">
                    <a:xfrm>
                      <a:off x="0" y="0"/>
                      <a:ext cx="5334000" cy="3333750"/>
                    </a:xfrm>
                    <a:prstGeom prst="rect">
                      <a:avLst/>
                    </a:prstGeom>
                  </pic:spPr>
                </pic:pic>
              </a:graphicData>
            </a:graphic>
          </wp:inline>
        </w:drawing>
      </w:r>
    </w:p>
    <w:p>
      <w:pPr>
        <w:pStyle w:val="ImageCaption"/>
        <w:rPr/>
      </w:pPr>
      <w:r>
        <w:rPr/>
        <w:t>La page « Gestion du Personnel »</w:t>
      </w:r>
    </w:p>
    <w:p>
      <w:pPr>
        <w:pStyle w:val="Normal"/>
        <w:jc w:val="center"/>
        <w:rPr/>
      </w:pPr>
      <w:r>
        <w:rPr/>
        <w:drawing>
          <wp:inline distT="0" distB="0" distL="0" distR="0">
            <wp:extent cx="5334000" cy="3333750"/>
            <wp:effectExtent l="0" t="0" r="0" b="0"/>
            <wp:docPr id="82" name="Image82" descr="Le formulaire « Ajouter un memb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82" descr="Le formulaire « Ajouter un membre »"/>
                    <pic:cNvPicPr>
                      <a:picLocks noChangeAspect="1" noChangeArrowheads="1"/>
                    </pic:cNvPicPr>
                  </pic:nvPicPr>
                  <pic:blipFill>
                    <a:blip r:embed="rId83"/>
                    <a:stretch>
                      <a:fillRect/>
                    </a:stretch>
                  </pic:blipFill>
                  <pic:spPr bwMode="auto">
                    <a:xfrm>
                      <a:off x="0" y="0"/>
                      <a:ext cx="5334000" cy="3333750"/>
                    </a:xfrm>
                    <a:prstGeom prst="rect">
                      <a:avLst/>
                    </a:prstGeom>
                  </pic:spPr>
                </pic:pic>
              </a:graphicData>
            </a:graphic>
          </wp:inline>
        </w:drawing>
      </w:r>
    </w:p>
    <w:p>
      <w:pPr>
        <w:pStyle w:val="ImageCaption"/>
        <w:rPr/>
      </w:pPr>
      <w:r>
        <w:rPr/>
        <w:t>Le formulaire « Ajouter un membre »</w:t>
      </w:r>
    </w:p>
    <w:p>
      <w:pPr>
        <w:pStyle w:val="Normal"/>
        <w:numPr>
          <w:ilvl w:val="0"/>
          <w:numId w:val="378"/>
        </w:numPr>
        <w:rPr/>
      </w:pPr>
      <w:r>
        <w:rPr/>
        <w:t xml:space="preserve">Cliquez sur </w:t>
      </w:r>
      <w:r>
        <w:rPr>
          <w:b/>
          <w:bCs/>
        </w:rPr>
        <w:t>Ajouter un membre</w:t>
      </w:r>
      <w:r>
        <w:rPr/>
        <w:t>.</w:t>
      </w:r>
    </w:p>
    <w:p>
      <w:pPr>
        <w:pStyle w:val="Normal"/>
        <w:numPr>
          <w:ilvl w:val="0"/>
          <w:numId w:val="379"/>
        </w:numPr>
        <w:rPr/>
      </w:pPr>
      <w:r>
        <w:rPr/>
        <w:t>Remplissez :</w:t>
      </w:r>
    </w:p>
    <w:tbl>
      <w:tblPr>
        <w:tblStyle w:val="Table"/>
        <w:tblW w:w="9638" w:type="dxa"/>
        <w:jc w:val="left"/>
        <w:tblInd w:w="825" w:type="dxa"/>
        <w:tblLayout w:type="fixed"/>
        <w:tblCellMar>
          <w:top w:w="50" w:type="dxa"/>
          <w:left w:w="100" w:type="dxa"/>
          <w:bottom w:w="50" w:type="dxa"/>
          <w:right w:w="100" w:type="dxa"/>
        </w:tblCellMar>
        <w:tblLook w:val="0020" w:noHBand="0" w:noVBand="0" w:firstColumn="0" w:lastRow="0" w:lastColumn="0" w:firstRow="1"/>
      </w:tblPr>
      <w:tblGrid>
        <w:gridCol w:w="3662"/>
        <w:gridCol w:w="5975"/>
      </w:tblGrid>
      <w:tr>
        <w:trPr>
          <w:tblHeader w:val="true"/>
          <w:cantSplit w:val="true"/>
        </w:trPr>
        <w:tc>
          <w:tcPr>
            <w:tcW w:w="366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w:t>
            </w:r>
          </w:p>
        </w:tc>
        <w:tc>
          <w:tcPr>
            <w:tcW w:w="597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Remarque</w:t>
            </w:r>
          </w:p>
        </w:tc>
      </w:tr>
      <w:tr>
        <w:trPr>
          <w:cantSplit w:val="true"/>
        </w:trPr>
        <w:tc>
          <w:tcPr>
            <w:tcW w:w="36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complet</w:t>
            </w:r>
          </w:p>
        </w:tc>
        <w:tc>
          <w:tcPr>
            <w:tcW w:w="597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r>
          </w:p>
        </w:tc>
      </w:tr>
      <w:tr>
        <w:trPr>
          <w:cantSplit w:val="true"/>
        </w:trPr>
        <w:tc>
          <w:tcPr>
            <w:tcW w:w="36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Numéro</w:t>
            </w:r>
          </w:p>
        </w:tc>
        <w:tc>
          <w:tcPr>
            <w:tcW w:w="597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Téléphone.</w:t>
            </w:r>
          </w:p>
        </w:tc>
      </w:tr>
      <w:tr>
        <w:trPr>
          <w:cantSplit w:val="true"/>
        </w:trPr>
        <w:tc>
          <w:tcPr>
            <w:tcW w:w="36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Fonction</w:t>
            </w:r>
          </w:p>
        </w:tc>
        <w:tc>
          <w:tcPr>
            <w:tcW w:w="597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Poste occupé.</w:t>
            </w:r>
          </w:p>
        </w:tc>
      </w:tr>
      <w:tr>
        <w:trPr>
          <w:cantSplit w:val="true"/>
        </w:trPr>
        <w:tc>
          <w:tcPr>
            <w:tcW w:w="36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Salaire</w:t>
            </w:r>
          </w:p>
        </w:tc>
        <w:tc>
          <w:tcPr>
            <w:tcW w:w="597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Salaire mensuel de base (FCFA) utilisé par la paie du personnel.</w:t>
            </w:r>
          </w:p>
        </w:tc>
      </w:tr>
      <w:tr>
        <w:trPr>
          <w:cantSplit w:val="true"/>
        </w:trPr>
        <w:tc>
          <w:tcPr>
            <w:tcW w:w="36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Date d’embauche</w:t>
            </w:r>
          </w:p>
        </w:tc>
        <w:tc>
          <w:tcPr>
            <w:tcW w:w="597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Détermine l’ancienneté et le droit aux congés.</w:t>
            </w:r>
          </w:p>
        </w:tc>
      </w:tr>
      <w:tr>
        <w:trPr>
          <w:cantSplit w:val="true"/>
        </w:trPr>
        <w:tc>
          <w:tcPr>
            <w:tcW w:w="366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Solde congés initial</w:t>
            </w:r>
          </w:p>
        </w:tc>
        <w:tc>
          <w:tcPr>
            <w:tcW w:w="597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Nombre de jours de congés annuels (ex. </w:t>
            </w:r>
            <w:r>
              <w:rPr>
                <w:rStyle w:val="VerbatimChar"/>
                <w:rFonts w:eastAsia="Calibri" w:cs="Calibri"/>
                <w:kern w:val="0"/>
                <w:lang w:val="fr-FR" w:eastAsia="en-US" w:bidi="ar-SA"/>
              </w:rPr>
              <w:t>18</w:t>
            </w:r>
            <w:r>
              <w:rPr>
                <w:rFonts w:eastAsia="Calibri" w:cs="Calibri"/>
                <w:kern w:val="0"/>
                <w:sz w:val="19"/>
                <w:szCs w:val="19"/>
                <w:lang w:val="fr-FR" w:eastAsia="en-US" w:bidi="ar-SA"/>
              </w:rPr>
              <w:t>).</w:t>
            </w:r>
          </w:p>
        </w:tc>
      </w:tr>
    </w:tbl>
    <w:p>
      <w:pPr>
        <w:pStyle w:val="Normal"/>
        <w:numPr>
          <w:ilvl w:val="0"/>
          <w:numId w:val="380"/>
        </w:numPr>
        <w:rPr/>
      </w:pPr>
      <w:r>
        <w:rPr/>
        <w:t>Enregistrez.</w:t>
      </w:r>
    </w:p>
    <w:p>
      <w:pPr>
        <w:pStyle w:val="FirstParagraph"/>
        <w:rPr/>
      </w:pPr>
      <w:r>
        <w:rPr/>
        <w:t xml:space="preserve">La colonne « Congés » affiche le solde </w:t>
      </w:r>
      <w:r>
        <w:rPr>
          <w:b/>
          <w:bCs/>
        </w:rPr>
        <w:t>restant</w:t>
      </w:r>
      <w:r>
        <w:rPr/>
        <w:t xml:space="preserve">. </w:t>
      </w:r>
      <w:r>
        <w:rPr>
          <w:b/>
          <w:bCs/>
        </w:rPr>
        <w:t>Import / Export</w:t>
      </w:r>
      <w:r>
        <w:rPr/>
        <w:t xml:space="preserve"> permet d’importer une liste Excel (mode d’emploi).</w:t>
      </w:r>
    </w:p>
    <w:p>
      <w:pPr>
        <w:pStyle w:val="EncadreInfo"/>
        <w:rPr/>
      </w:pPr>
      <w:r>
        <w:rPr>
          <w:b/>
          <w:bCs/>
        </w:rPr>
        <w:t>Compte de connexion</w:t>
      </w:r>
    </w:p>
    <w:p>
      <w:pPr>
        <w:pStyle w:val="EncadreInfo"/>
        <w:rPr/>
      </w:pPr>
      <w:r>
        <w:rPr/>
        <w:t xml:space="preserve">Ajouter un membre du personnel ne crée pas de compte de connexion. Si la personne doit utiliser SmartCampus, créez son compte dans </w:t>
      </w:r>
      <w:r>
        <w:rPr>
          <w:b/>
          <w:bCs/>
        </w:rPr>
        <w:t>Système</w:t>
      </w:r>
      <w:r>
        <w:rPr/>
        <w:t xml:space="preserve"> → </w:t>
      </w:r>
      <w:r>
        <w:rPr>
          <w:i/>
          <w:iCs/>
        </w:rPr>
        <w:t>Utilisateurs</w:t>
      </w:r>
      <w:r>
        <w:rPr/>
        <w:t>.</w:t>
      </w:r>
    </w:p>
    <w:p>
      <w:pPr>
        <w:pStyle w:val="Normal"/>
        <w:spacing w:before="0" w:after="60"/>
        <w:rPr>
          <w:sz w:val="8"/>
        </w:rPr>
      </w:pPr>
      <w:r>
        <w:rPr>
          <w:sz w:val="8"/>
        </w:rPr>
      </w:r>
      <w:bookmarkStart w:id="247" w:name="liste-du-personnel"/>
      <w:bookmarkStart w:id="248" w:name="ajouter-un-membre-du-personnel"/>
      <w:bookmarkStart w:id="249" w:name="liste-du-personnel"/>
      <w:bookmarkStart w:id="250" w:name="ajouter-un-membre-du-personnel"/>
      <w:bookmarkEnd w:id="249"/>
      <w:bookmarkEnd w:id="250"/>
    </w:p>
    <w:p>
      <w:pPr>
        <w:pStyle w:val="Heading3"/>
        <w:rPr/>
      </w:pPr>
      <w:r>
        <w:rPr/>
        <w:t>Congés et absences</w:t>
      </w:r>
    </w:p>
    <w:p>
      <w:pPr>
        <w:pStyle w:val="FirstParagraph"/>
        <w:rPr/>
      </w:pPr>
      <w:r>
        <w:rPr/>
        <w:t xml:space="preserve">La page « Congés &amp; Demandes Administratives » a deux onglets : </w:t>
      </w:r>
      <w:r>
        <w:rPr>
          <w:i/>
          <w:iCs/>
        </w:rPr>
        <w:t>Congés</w:t>
      </w:r>
      <w:r>
        <w:rPr/>
        <w:t xml:space="preserve"> et </w:t>
      </w:r>
      <w:r>
        <w:rPr>
          <w:i/>
          <w:iCs/>
        </w:rPr>
        <w:t>Demandes</w:t>
      </w:r>
      <w:r>
        <w:rPr/>
        <w:t xml:space="preserve"> (rappel des demandes de matériel faites dans l’Inventaire).</w:t>
      </w:r>
    </w:p>
    <w:p>
      <w:pPr>
        <w:pStyle w:val="Heading4"/>
        <w:rPr/>
      </w:pPr>
      <w:bookmarkStart w:id="251" w:name="enregistrer-une-demande-de-congé"/>
      <w:r>
        <w:rPr/>
        <w:t>Enregistrer une demande de congé</w:t>
      </w:r>
    </w:p>
    <w:p>
      <w:pPr>
        <w:pStyle w:val="Normal"/>
        <w:jc w:val="center"/>
        <w:rPr/>
      </w:pPr>
      <w:r>
        <w:rPr/>
        <w:drawing>
          <wp:inline distT="0" distB="0" distL="0" distR="0">
            <wp:extent cx="5334000" cy="3333750"/>
            <wp:effectExtent l="0" t="0" r="0" b="0"/>
            <wp:docPr id="83" name="Image83" descr="La page « Congés &amp; Demandes Administrati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83" descr="La page « Congés &amp; Demandes Administratives »"/>
                    <pic:cNvPicPr>
                      <a:picLocks noChangeAspect="1" noChangeArrowheads="1"/>
                    </pic:cNvPicPr>
                  </pic:nvPicPr>
                  <pic:blipFill>
                    <a:blip r:embed="rId84"/>
                    <a:stretch>
                      <a:fillRect/>
                    </a:stretch>
                  </pic:blipFill>
                  <pic:spPr bwMode="auto">
                    <a:xfrm>
                      <a:off x="0" y="0"/>
                      <a:ext cx="5334000" cy="3333750"/>
                    </a:xfrm>
                    <a:prstGeom prst="rect">
                      <a:avLst/>
                    </a:prstGeom>
                  </pic:spPr>
                </pic:pic>
              </a:graphicData>
            </a:graphic>
          </wp:inline>
        </w:drawing>
      </w:r>
    </w:p>
    <w:p>
      <w:pPr>
        <w:pStyle w:val="ImageCaption"/>
        <w:rPr/>
      </w:pPr>
      <w:r>
        <w:rPr/>
        <w:t>La page « Congés &amp; Demandes Administratives »</w:t>
      </w:r>
    </w:p>
    <w:p>
      <w:pPr>
        <w:pStyle w:val="Normal"/>
        <w:jc w:val="center"/>
        <w:rPr/>
      </w:pPr>
      <w:r>
        <w:rPr/>
        <w:drawing>
          <wp:inline distT="0" distB="0" distL="0" distR="0">
            <wp:extent cx="5334000" cy="3333750"/>
            <wp:effectExtent l="0" t="0" r="0" b="0"/>
            <wp:docPr id="84" name="Image84" descr="Le formulaire « Demander un Congé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84" descr="Le formulaire « Demander un Congé »"/>
                    <pic:cNvPicPr>
                      <a:picLocks noChangeAspect="1" noChangeArrowheads="1"/>
                    </pic:cNvPicPr>
                  </pic:nvPicPr>
                  <pic:blipFill>
                    <a:blip r:embed="rId85"/>
                    <a:stretch>
                      <a:fillRect/>
                    </a:stretch>
                  </pic:blipFill>
                  <pic:spPr bwMode="auto">
                    <a:xfrm>
                      <a:off x="0" y="0"/>
                      <a:ext cx="5334000" cy="3333750"/>
                    </a:xfrm>
                    <a:prstGeom prst="rect">
                      <a:avLst/>
                    </a:prstGeom>
                  </pic:spPr>
                </pic:pic>
              </a:graphicData>
            </a:graphic>
          </wp:inline>
        </w:drawing>
      </w:r>
    </w:p>
    <w:p>
      <w:pPr>
        <w:pStyle w:val="ImageCaption"/>
        <w:rPr/>
      </w:pPr>
      <w:r>
        <w:rPr/>
        <w:t>Le formulaire « Demander un Congé »</w:t>
      </w:r>
    </w:p>
    <w:p>
      <w:pPr>
        <w:pStyle w:val="Compact"/>
        <w:numPr>
          <w:ilvl w:val="0"/>
          <w:numId w:val="381"/>
        </w:numPr>
        <w:rPr/>
      </w:pPr>
      <w:r>
        <w:rPr/>
        <w:t xml:space="preserve">Onglet </w:t>
      </w:r>
      <w:r>
        <w:rPr>
          <w:i/>
          <w:iCs/>
        </w:rPr>
        <w:t>Congés</w:t>
      </w:r>
      <w:r>
        <w:rPr/>
        <w:t xml:space="preserve"> → </w:t>
      </w:r>
      <w:r>
        <w:rPr>
          <w:b/>
          <w:bCs/>
        </w:rPr>
        <w:t>Ajouter un Congé</w:t>
      </w:r>
      <w:r>
        <w:rPr/>
        <w:t>.</w:t>
      </w:r>
    </w:p>
    <w:p>
      <w:pPr>
        <w:pStyle w:val="Compact"/>
        <w:numPr>
          <w:ilvl w:val="0"/>
          <w:numId w:val="382"/>
        </w:numPr>
        <w:rPr/>
      </w:pPr>
      <w:r>
        <w:rPr/>
        <w:t xml:space="preserve">Remplissez « Personnel », « Date Début », « Date Fin », « Type de congé » (ex. </w:t>
      </w:r>
      <w:r>
        <w:rPr>
          <w:i/>
          <w:iCs/>
        </w:rPr>
        <w:t>Annuel</w:t>
      </w:r>
      <w:r>
        <w:rPr/>
        <w:t xml:space="preserve">, </w:t>
      </w:r>
      <w:r>
        <w:rPr>
          <w:i/>
          <w:iCs/>
        </w:rPr>
        <w:t>Maladie</w:t>
      </w:r>
      <w:r>
        <w:rPr/>
        <w:t xml:space="preserve">, </w:t>
      </w:r>
      <w:r>
        <w:rPr>
          <w:i/>
          <w:iCs/>
        </w:rPr>
        <w:t>Maternité</w:t>
      </w:r>
      <w:r>
        <w:rPr/>
        <w:t>…), « Statut » (</w:t>
      </w:r>
      <w:r>
        <w:rPr>
          <w:i/>
          <w:iCs/>
        </w:rPr>
        <w:t>En attente</w:t>
      </w:r>
      <w:r>
        <w:rPr/>
        <w:t>) et éventuellement « Raison / Motif (Optionnel) ».</w:t>
      </w:r>
    </w:p>
    <w:p>
      <w:pPr>
        <w:pStyle w:val="Compact"/>
        <w:numPr>
          <w:ilvl w:val="0"/>
          <w:numId w:val="383"/>
        </w:numPr>
        <w:rPr/>
      </w:pPr>
      <w:bookmarkStart w:id="252" w:name="enregistrer-une-demande-de-congé"/>
      <w:r>
        <w:rPr/>
        <w:t>Enregistrez.</w:t>
      </w:r>
      <w:bookmarkEnd w:id="252"/>
    </w:p>
    <w:p>
      <w:pPr>
        <w:pStyle w:val="Heading4"/>
        <w:rPr/>
      </w:pPr>
      <w:bookmarkStart w:id="253" w:name="accepter-ou-refuser"/>
      <w:r>
        <w:rPr/>
        <w:t>Accepter ou refuser</w:t>
      </w:r>
    </w:p>
    <w:p>
      <w:pPr>
        <w:pStyle w:val="FirstParagraph"/>
        <w:rPr/>
      </w:pPr>
      <w:r>
        <w:rPr/>
        <w:t xml:space="preserve">Modifiez la ligne (crayon) et changez le « Statut » en </w:t>
      </w:r>
      <w:r>
        <w:rPr>
          <w:b/>
          <w:bCs/>
        </w:rPr>
        <w:t>Accepté</w:t>
      </w:r>
      <w:r>
        <w:rPr/>
        <w:t xml:space="preserve"> ou </w:t>
      </w:r>
      <w:r>
        <w:rPr>
          <w:b/>
          <w:bCs/>
        </w:rPr>
        <w:t>Refusé</w:t>
      </w:r>
      <w:r>
        <w:rPr/>
        <w: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525"/>
        <w:gridCol w:w="6112"/>
      </w:tblGrid>
      <w:tr>
        <w:trPr>
          <w:tblHeader w:val="true"/>
          <w:cantSplit w:val="true"/>
        </w:trPr>
        <w:tc>
          <w:tcPr>
            <w:tcW w:w="352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Action</w:t>
            </w:r>
          </w:p>
        </w:tc>
        <w:tc>
          <w:tcPr>
            <w:tcW w:w="611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Effet sur le solde</w:t>
            </w:r>
          </w:p>
        </w:tc>
      </w:tr>
      <w:tr>
        <w:trPr>
          <w:cantSplit w:val="true"/>
        </w:trPr>
        <w:tc>
          <w:tcPr>
            <w:tcW w:w="352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Demande </w:t>
            </w:r>
            <w:r>
              <w:rPr>
                <w:rFonts w:eastAsia="Calibri" w:cs="Calibri"/>
                <w:i/>
                <w:iCs/>
                <w:kern w:val="0"/>
                <w:sz w:val="19"/>
                <w:szCs w:val="19"/>
                <w:lang w:val="fr-FR" w:eastAsia="en-US" w:bidi="ar-SA"/>
              </w:rPr>
              <w:t>En attente</w:t>
            </w:r>
          </w:p>
        </w:tc>
        <w:tc>
          <w:tcPr>
            <w:tcW w:w="611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Aucun</w:t>
            </w:r>
          </w:p>
        </w:tc>
      </w:tr>
      <w:tr>
        <w:trPr>
          <w:cantSplit w:val="true"/>
        </w:trPr>
        <w:tc>
          <w:tcPr>
            <w:tcW w:w="352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Passage à </w:t>
            </w:r>
            <w:r>
              <w:rPr>
                <w:rFonts w:eastAsia="Calibri" w:cs="Calibri"/>
                <w:b/>
                <w:bCs/>
                <w:kern w:val="0"/>
                <w:sz w:val="19"/>
                <w:szCs w:val="19"/>
                <w:lang w:val="fr-FR" w:eastAsia="en-US" w:bidi="ar-SA"/>
              </w:rPr>
              <w:t>Accepté</w:t>
            </w:r>
          </w:p>
        </w:tc>
        <w:tc>
          <w:tcPr>
            <w:tcW w:w="611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Le solde est </w:t>
            </w:r>
            <w:r>
              <w:rPr>
                <w:rFonts w:eastAsia="Calibri" w:cs="Calibri"/>
                <w:b/>
                <w:bCs/>
                <w:kern w:val="0"/>
                <w:sz w:val="19"/>
                <w:szCs w:val="19"/>
                <w:lang w:val="fr-FR" w:eastAsia="en-US" w:bidi="ar-SA"/>
              </w:rPr>
              <w:t>débité</w:t>
            </w:r>
            <w:r>
              <w:rPr>
                <w:rFonts w:eastAsia="Calibri" w:cs="Calibri"/>
                <w:kern w:val="0"/>
                <w:sz w:val="19"/>
                <w:szCs w:val="19"/>
                <w:lang w:val="fr-FR" w:eastAsia="en-US" w:bidi="ar-SA"/>
              </w:rPr>
              <w:t xml:space="preserve"> du nombre de </w:t>
            </w:r>
            <w:r>
              <w:rPr>
                <w:rFonts w:eastAsia="Calibri" w:cs="Calibri"/>
                <w:b/>
                <w:bCs/>
                <w:kern w:val="0"/>
                <w:sz w:val="19"/>
                <w:szCs w:val="19"/>
                <w:lang w:val="fr-FR" w:eastAsia="en-US" w:bidi="ar-SA"/>
              </w:rPr>
              <w:t>jours ouvrés</w:t>
            </w:r>
            <w:r>
              <w:rPr>
                <w:rFonts w:eastAsia="Calibri" w:cs="Calibri"/>
                <w:kern w:val="0"/>
                <w:sz w:val="19"/>
                <w:szCs w:val="19"/>
                <w:lang w:val="fr-FR" w:eastAsia="en-US" w:bidi="ar-SA"/>
              </w:rPr>
              <w:t xml:space="preserve"> (samedis et dimanches exclus)</w:t>
            </w:r>
          </w:p>
        </w:tc>
      </w:tr>
      <w:tr>
        <w:trPr>
          <w:cantSplit w:val="true"/>
        </w:trPr>
        <w:tc>
          <w:tcPr>
            <w:tcW w:w="352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Congé accepté passé à </w:t>
            </w:r>
            <w:r>
              <w:rPr>
                <w:rFonts w:eastAsia="Calibri" w:cs="Calibri"/>
                <w:b/>
                <w:bCs/>
                <w:kern w:val="0"/>
                <w:sz w:val="19"/>
                <w:szCs w:val="19"/>
                <w:lang w:val="fr-FR" w:eastAsia="en-US" w:bidi="ar-SA"/>
              </w:rPr>
              <w:t>Refusé</w:t>
            </w:r>
            <w:r>
              <w:rPr>
                <w:rFonts w:eastAsia="Calibri" w:cs="Calibri"/>
                <w:kern w:val="0"/>
                <w:sz w:val="19"/>
                <w:szCs w:val="19"/>
                <w:lang w:val="fr-FR" w:eastAsia="en-US" w:bidi="ar-SA"/>
              </w:rPr>
              <w:t>, modifié ou supprimé</w:t>
            </w:r>
          </w:p>
        </w:tc>
        <w:tc>
          <w:tcPr>
            <w:tcW w:w="611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Le solde est </w:t>
            </w:r>
            <w:r>
              <w:rPr>
                <w:rFonts w:eastAsia="Calibri" w:cs="Calibri"/>
                <w:b/>
                <w:bCs/>
                <w:kern w:val="0"/>
                <w:sz w:val="19"/>
                <w:szCs w:val="19"/>
                <w:lang w:val="fr-FR" w:eastAsia="en-US" w:bidi="ar-SA"/>
              </w:rPr>
              <w:t>recrédité</w:t>
            </w:r>
            <w:r>
              <w:rPr>
                <w:rFonts w:eastAsia="Calibri" w:cs="Calibri"/>
                <w:kern w:val="0"/>
                <w:sz w:val="19"/>
                <w:szCs w:val="19"/>
                <w:lang w:val="fr-FR" w:eastAsia="en-US" w:bidi="ar-SA"/>
              </w:rPr>
              <w:t xml:space="preserve"> ou ajusté automatiquement</w:t>
            </w:r>
          </w:p>
        </w:tc>
      </w:tr>
    </w:tbl>
    <w:p>
      <w:pPr>
        <w:pStyle w:val="BodyText"/>
        <w:rPr/>
      </w:pPr>
      <w:bookmarkStart w:id="254" w:name="accepter-ou-refuser"/>
      <w:r>
        <w:rPr/>
        <w:t>Exemple : un congé du lundi 2 au vendredi 6 novembre = 5 jours ouvrés ; un solde de 10 jours passe à 5.</w:t>
      </w:r>
      <w:bookmarkEnd w:id="254"/>
    </w:p>
    <w:p>
      <w:pPr>
        <w:pStyle w:val="Heading4"/>
        <w:rPr/>
      </w:pPr>
      <w:r>
        <w:rPr/>
        <w:t>Refus automatiques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6611"/>
        <w:gridCol w:w="3026"/>
      </w:tblGrid>
      <w:tr>
        <w:trPr>
          <w:tblHeader w:val="true"/>
          <w:cantSplit w:val="true"/>
        </w:trPr>
        <w:tc>
          <w:tcPr>
            <w:tcW w:w="661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Message</w:t>
            </w:r>
          </w:p>
        </w:tc>
        <w:tc>
          <w:tcPr>
            <w:tcW w:w="302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Cause</w:t>
            </w:r>
          </w:p>
        </w:tc>
      </w:tr>
      <w:tr>
        <w:trPr>
          <w:cantSplit w:val="true"/>
        </w:trPr>
        <w:tc>
          <w:tcPr>
            <w:tcW w:w="661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date de fin doit être postérieure ou égale à la date de début</w:t>
            </w:r>
          </w:p>
        </w:tc>
        <w:tc>
          <w:tcPr>
            <w:tcW w:w="302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Dates inversées.</w:t>
            </w:r>
          </w:p>
        </w:tc>
      </w:tr>
      <w:tr>
        <w:trPr>
          <w:cantSplit w:val="true"/>
        </w:trPr>
        <w:tc>
          <w:tcPr>
            <w:tcW w:w="661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 période choisie ne contient aucun jour ouvré (uniquement des weekends)</w:t>
            </w:r>
          </w:p>
        </w:tc>
        <w:tc>
          <w:tcPr>
            <w:tcW w:w="302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Seulement un samedi / dimanche.</w:t>
            </w:r>
          </w:p>
        </w:tc>
      </w:tr>
      <w:tr>
        <w:trPr>
          <w:cantSplit w:val="true"/>
        </w:trPr>
        <w:tc>
          <w:tcPr>
            <w:tcW w:w="661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Ce membre du personnel n’est pas encore éligible aux congés (Ancienneté : 0 an(s)). Il faut au moins 1 an.</w:t>
            </w:r>
          </w:p>
        </w:tc>
        <w:tc>
          <w:tcPr>
            <w:tcW w:w="302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Embauché depuis moins d’un an.</w:t>
            </w:r>
          </w:p>
        </w:tc>
      </w:tr>
      <w:tr>
        <w:trPr>
          <w:cantSplit w:val="true"/>
        </w:trPr>
        <w:tc>
          <w:tcPr>
            <w:tcW w:w="661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Solde de congés insuffisant. Restant : X jour(s) ouvré(s), Demandé : Y jour(s).</w:t>
            </w:r>
          </w:p>
        </w:tc>
        <w:tc>
          <w:tcPr>
            <w:tcW w:w="302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Pas assez de jours.</w:t>
            </w:r>
            <w:bookmarkStart w:id="255" w:name="administration-personnel-et-congés"/>
            <w:bookmarkStart w:id="256" w:name="congés-et-absences"/>
            <w:bookmarkStart w:id="257" w:name="refus-automatiques"/>
            <w:bookmarkEnd w:id="255"/>
            <w:bookmarkEnd w:id="256"/>
            <w:bookmarkEnd w:id="257"/>
          </w:p>
        </w:tc>
      </w:tr>
    </w:tbl>
    <w:p>
      <w:pPr>
        <w:pStyle w:val="Heading2"/>
        <w:rPr/>
      </w:pPr>
      <w:bookmarkStart w:id="258" w:name="__RefHeading___Toc15184_1458957718"/>
      <w:bookmarkEnd w:id="258"/>
      <w:r>
        <w:rPr/>
        <w:t>Administration — Système (paramètres, utilisateurs, rôles, apparence)</w:t>
      </w:r>
    </w:p>
    <w:p>
      <w:pPr>
        <w:pStyle w:val="FirstParagraph"/>
        <w:rPr/>
      </w:pPr>
      <w:r>
        <w:rPr>
          <w:b/>
          <w:bCs/>
        </w:rPr>
        <w:t>Menu :</w:t>
      </w:r>
      <w:r>
        <w:rPr/>
        <w:t xml:space="preserve"> Système — </w:t>
      </w:r>
      <w:r>
        <w:rPr>
          <w:b/>
          <w:bCs/>
        </w:rPr>
        <w:t>Accès :</w:t>
      </w:r>
      <w:r>
        <w:rPr/>
        <w:t xml:space="preserve"> administrateurs uniquement (rôles </w:t>
      </w:r>
      <w:r>
        <w:rPr>
          <w:rStyle w:val="VerbatimChar"/>
        </w:rPr>
        <w:t>admin</w:t>
      </w:r>
      <w:r>
        <w:rPr/>
        <w:t xml:space="preserve"> / </w:t>
      </w:r>
      <w:r>
        <w:rPr>
          <w:rStyle w:val="VerbatimChar"/>
        </w:rPr>
        <w:t>superadmin</w:t>
      </w:r>
      <w:r>
        <w:rPr/>
        <w:t>).</w:t>
      </w:r>
    </w:p>
    <w:p>
      <w:pPr>
        <w:pStyle w:val="BodyText"/>
        <w:rPr/>
      </w:pPr>
      <w:r>
        <w:rPr/>
        <w:t xml:space="preserve">La page « Administration Système » comporte quatre onglets : </w:t>
      </w:r>
      <w:r>
        <w:rPr>
          <w:i/>
          <w:iCs/>
        </w:rPr>
        <w:t>Paramètres Globaux</w:t>
      </w:r>
      <w:r>
        <w:rPr/>
        <w:t xml:space="preserve">, </w:t>
      </w:r>
      <w:r>
        <w:rPr>
          <w:i/>
          <w:iCs/>
        </w:rPr>
        <w:t>Utilisateurs</w:t>
      </w:r>
      <w:r>
        <w:rPr/>
        <w:t xml:space="preserve">, </w:t>
      </w:r>
      <w:r>
        <w:rPr>
          <w:i/>
          <w:iCs/>
        </w:rPr>
        <w:t>Rôles</w:t>
      </w:r>
      <w:r>
        <w:rPr/>
        <w:t xml:space="preserve">, </w:t>
      </w:r>
      <w:r>
        <w:rPr>
          <w:i/>
          <w:iCs/>
        </w:rPr>
        <w:t>Apparence &amp; École</w:t>
      </w:r>
      <w:r>
        <w:rPr/>
        <w:t>.</w:t>
      </w:r>
    </w:p>
    <w:p>
      <w:pPr>
        <w:pStyle w:val="Heading3"/>
        <w:rPr/>
      </w:pPr>
      <w:bookmarkStart w:id="259" w:name="onglet-paramètres-globaux"/>
      <w:bookmarkEnd w:id="259"/>
      <w:r>
        <w:rPr/>
        <w:t xml:space="preserve">Onglet </w:t>
      </w:r>
      <w:r>
        <w:rPr>
          <w:i/>
          <w:iCs/>
        </w:rPr>
        <w:t>Paramètres Globaux</w:t>
      </w:r>
    </w:p>
    <w:p>
      <w:pPr>
        <w:pStyle w:val="Normal"/>
        <w:jc w:val="center"/>
        <w:rPr/>
      </w:pPr>
      <w:r>
        <w:rPr/>
        <w:drawing>
          <wp:inline distT="0" distB="0" distL="0" distR="0">
            <wp:extent cx="5334000" cy="3333750"/>
            <wp:effectExtent l="0" t="0" r="0" b="0"/>
            <wp:docPr id="85" name="Image85" descr="Paramètres Globaux : cycles et calcul des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85" descr="Paramètres Globaux : cycles et calcul des notes"/>
                    <pic:cNvPicPr>
                      <a:picLocks noChangeAspect="1" noChangeArrowheads="1"/>
                    </pic:cNvPicPr>
                  </pic:nvPicPr>
                  <pic:blipFill>
                    <a:blip r:embed="rId86"/>
                    <a:stretch>
                      <a:fillRect/>
                    </a:stretch>
                  </pic:blipFill>
                  <pic:spPr bwMode="auto">
                    <a:xfrm>
                      <a:off x="0" y="0"/>
                      <a:ext cx="5334000" cy="3333750"/>
                    </a:xfrm>
                    <a:prstGeom prst="rect">
                      <a:avLst/>
                    </a:prstGeom>
                  </pic:spPr>
                </pic:pic>
              </a:graphicData>
            </a:graphic>
          </wp:inline>
        </w:drawing>
      </w:r>
    </w:p>
    <w:p>
      <w:pPr>
        <w:pStyle w:val="ImageCaption"/>
        <w:rPr/>
      </w:pPr>
      <w:r>
        <w:rPr/>
        <w:t>Paramètres Globaux : cycles et calcul des notes</w:t>
      </w:r>
    </w:p>
    <w:p>
      <w:pPr>
        <w:pStyle w:val="Heading4"/>
        <w:rPr/>
      </w:pPr>
      <w:bookmarkStart w:id="260" w:name="cycles-globaux"/>
      <w:r>
        <w:rPr/>
        <w:t>Cycles Globaux</w:t>
      </w:r>
    </w:p>
    <w:p>
      <w:pPr>
        <w:pStyle w:val="FirstParagraph"/>
        <w:rPr/>
      </w:pPr>
      <w:r>
        <w:rPr/>
        <w:t xml:space="preserve">Les types de cycles (Licence, BTS, Master…) et leurs </w:t>
      </w:r>
      <w:r>
        <w:rPr>
          <w:b/>
          <w:bCs/>
        </w:rPr>
        <w:t>horaires</w:t>
      </w:r>
      <w:r>
        <w:rPr/>
        <w:t>, utilisés par l’emploi du temps.</w:t>
      </w:r>
    </w:p>
    <w:p>
      <w:pPr>
        <w:pStyle w:val="Compact"/>
        <w:numPr>
          <w:ilvl w:val="0"/>
          <w:numId w:val="384"/>
        </w:numPr>
        <w:rPr/>
      </w:pPr>
      <w:r>
        <w:rPr>
          <w:b/>
          <w:bCs/>
        </w:rPr>
        <w:t>Nouveau</w:t>
      </w:r>
      <w:r>
        <w:rPr/>
        <w:t xml:space="preserve"> (ou crayon pour modifier un cycle existant).</w:t>
      </w:r>
    </w:p>
    <w:p>
      <w:pPr>
        <w:pStyle w:val="Compact"/>
        <w:numPr>
          <w:ilvl w:val="0"/>
          <w:numId w:val="385"/>
        </w:numPr>
        <w:rPr/>
      </w:pPr>
      <w:r>
        <w:rPr/>
        <w:t>Remplissez « Nom du cycle (ex: Licence) », « Code (ex: LIC) », « Début Journée », « Fin Journée », « Début Pause », « Fin Pause ».</w:t>
      </w:r>
    </w:p>
    <w:p>
      <w:pPr>
        <w:pStyle w:val="Compact"/>
        <w:numPr>
          <w:ilvl w:val="0"/>
          <w:numId w:val="386"/>
        </w:numPr>
        <w:rPr/>
      </w:pPr>
      <w:r>
        <w:rPr/>
        <w:t>Enregistrez.</w:t>
      </w:r>
    </w:p>
    <w:p>
      <w:pPr>
        <w:pStyle w:val="FirstParagraph"/>
        <w:rPr/>
      </w:pPr>
      <w:r>
        <w:rPr/>
        <w:t xml:space="preserve">Par défaut : journée de </w:t>
      </w:r>
      <w:r>
        <w:rPr>
          <w:b/>
          <w:bCs/>
        </w:rPr>
        <w:t>08:00 à 18:00</w:t>
      </w:r>
      <w:r>
        <w:rPr/>
        <w:t xml:space="preserve">, pause de </w:t>
      </w:r>
      <w:r>
        <w:rPr>
          <w:b/>
          <w:bCs/>
        </w:rPr>
        <w:t>12:00 à 13:00</w:t>
      </w:r>
      <w:r>
        <w:rPr/>
        <w:t>. Aucun cours ne peut être programmé pendant la pause ni en dehors de la journée.</w:t>
      </w:r>
      <w:bookmarkEnd w:id="260"/>
    </w:p>
    <w:p>
      <w:pPr>
        <w:pStyle w:val="Heading4"/>
        <w:rPr/>
      </w:pPr>
      <w:bookmarkStart w:id="261" w:name="calcul-des-notes"/>
      <w:bookmarkEnd w:id="261"/>
      <w:r>
        <w:rPr/>
        <w:t>Calcul des Notes</w:t>
      </w:r>
    </w:p>
    <w:p>
      <w:pPr>
        <w:pStyle w:val="FirstParagraph"/>
        <w:rPr/>
      </w:pPr>
      <w:r>
        <w:rPr/>
        <w:t xml:space="preserve">« Pourcentage CC (%) » et « Pourcentage SN (%) » (par défaut 30 / 70). La somme doit être égale à 100. Cliquez sur </w:t>
      </w:r>
      <w:r>
        <w:rPr>
          <w:b/>
          <w:bCs/>
        </w:rPr>
        <w:t>Mettre à jour les coefficients</w:t>
      </w:r>
      <w:r>
        <w:rPr/>
        <w:t>.</w:t>
      </w:r>
    </w:p>
    <w:p>
      <w:pPr>
        <w:pStyle w:val="EncadreAttention"/>
        <w:rPr/>
      </w:pPr>
      <w:r>
        <w:rPr>
          <w:b/>
          <w:bCs/>
        </w:rPr>
        <w:t>Effet sur les notes existantes</w:t>
      </w:r>
    </w:p>
    <w:p>
      <w:pPr>
        <w:pStyle w:val="EncadreAttention"/>
        <w:rPr/>
      </w:pPr>
      <w:r>
        <w:rPr>
          <w:b/>
          <w:bCs/>
        </w:rPr>
        <w:t>Toutes</w:t>
      </w:r>
      <w:r>
        <w:rPr/>
        <w:t xml:space="preserve"> les notes déjà saisies, y compris celles des années précédentes, sont </w:t>
      </w:r>
      <w:r>
        <w:rPr>
          <w:b/>
          <w:bCs/>
        </w:rPr>
        <w:t>converties</w:t>
      </w:r>
      <w:r>
        <w:rPr/>
        <w:t xml:space="preserve"> à la nouvelle échelle (une note CC de 15/30 devient 20/40 si le CC passe à 40 %). Le résultat final de chaque étudiant ne change pas, mais les relevés des anciennes années afficheront les nouvelles échelles. Faites ce réglage </w:t>
      </w:r>
      <w:r>
        <w:rPr>
          <w:b/>
          <w:bCs/>
        </w:rPr>
        <w:t>une fois pour toutes</w:t>
      </w:r>
      <w:r>
        <w:rPr/>
        <w:t>, avant les premières saisies.</w:t>
      </w:r>
    </w:p>
    <w:p>
      <w:pPr>
        <w:pStyle w:val="Normal"/>
        <w:spacing w:before="0" w:after="60"/>
        <w:rPr>
          <w:sz w:val="8"/>
        </w:rPr>
      </w:pPr>
      <w:r>
        <w:rPr>
          <w:sz w:val="8"/>
        </w:rPr>
      </w:r>
      <w:bookmarkStart w:id="262" w:name="onglet-paramètres-globaux"/>
      <w:bookmarkStart w:id="263" w:name="calcul-des-notes"/>
      <w:bookmarkStart w:id="264" w:name="onglet-paramètres-globaux"/>
      <w:bookmarkStart w:id="265" w:name="calcul-des-notes"/>
      <w:bookmarkEnd w:id="264"/>
      <w:bookmarkEnd w:id="265"/>
    </w:p>
    <w:p>
      <w:pPr>
        <w:pStyle w:val="Heading3"/>
        <w:rPr/>
      </w:pPr>
      <w:bookmarkStart w:id="266" w:name="onglet-utilisateurs-comptes-du-personnel"/>
      <w:bookmarkEnd w:id="266"/>
      <w:r>
        <w:rPr/>
        <w:t xml:space="preserve">Onglet </w:t>
      </w:r>
      <w:r>
        <w:rPr>
          <w:i/>
          <w:iCs/>
        </w:rPr>
        <w:t>Utilisateurs</w:t>
      </w:r>
      <w:r>
        <w:rPr/>
        <w:t xml:space="preserve"> — comptes du personnel</w:t>
      </w:r>
    </w:p>
    <w:p>
      <w:pPr>
        <w:pStyle w:val="Normal"/>
        <w:jc w:val="center"/>
        <w:rPr/>
      </w:pPr>
      <w:r>
        <w:rPr/>
        <w:drawing>
          <wp:inline distT="0" distB="0" distL="0" distR="0">
            <wp:extent cx="5334000" cy="3333750"/>
            <wp:effectExtent l="0" t="0" r="0" b="0"/>
            <wp:docPr id="86" name="Image86" descr="La gestion des 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86" descr="La gestion des utilisateurs"/>
                    <pic:cNvPicPr>
                      <a:picLocks noChangeAspect="1" noChangeArrowheads="1"/>
                    </pic:cNvPicPr>
                  </pic:nvPicPr>
                  <pic:blipFill>
                    <a:blip r:embed="rId87"/>
                    <a:stretch>
                      <a:fillRect/>
                    </a:stretch>
                  </pic:blipFill>
                  <pic:spPr bwMode="auto">
                    <a:xfrm>
                      <a:off x="0" y="0"/>
                      <a:ext cx="5334000" cy="3333750"/>
                    </a:xfrm>
                    <a:prstGeom prst="rect">
                      <a:avLst/>
                    </a:prstGeom>
                  </pic:spPr>
                </pic:pic>
              </a:graphicData>
            </a:graphic>
          </wp:inline>
        </w:drawing>
      </w:r>
    </w:p>
    <w:p>
      <w:pPr>
        <w:pStyle w:val="ImageCaption"/>
        <w:rPr/>
      </w:pPr>
      <w:r>
        <w:rPr/>
        <w:t>La gestion des utilisateurs</w:t>
      </w:r>
    </w:p>
    <w:p>
      <w:pPr>
        <w:pStyle w:val="Normal"/>
        <w:jc w:val="center"/>
        <w:rPr/>
      </w:pPr>
      <w:r>
        <w:rPr/>
        <w:drawing>
          <wp:inline distT="0" distB="0" distL="0" distR="0">
            <wp:extent cx="5334000" cy="3333750"/>
            <wp:effectExtent l="0" t="0" r="0" b="0"/>
            <wp:docPr id="87" name="Image87" descr="La fenêtre « Créer un Utilisate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87" descr="La fenêtre « Créer un Utilisateur »"/>
                    <pic:cNvPicPr>
                      <a:picLocks noChangeAspect="1" noChangeArrowheads="1"/>
                    </pic:cNvPicPr>
                  </pic:nvPicPr>
                  <pic:blipFill>
                    <a:blip r:embed="rId88"/>
                    <a:stretch>
                      <a:fillRect/>
                    </a:stretch>
                  </pic:blipFill>
                  <pic:spPr bwMode="auto">
                    <a:xfrm>
                      <a:off x="0" y="0"/>
                      <a:ext cx="5334000" cy="3333750"/>
                    </a:xfrm>
                    <a:prstGeom prst="rect">
                      <a:avLst/>
                    </a:prstGeom>
                  </pic:spPr>
                </pic:pic>
              </a:graphicData>
            </a:graphic>
          </wp:inline>
        </w:drawing>
      </w:r>
    </w:p>
    <w:p>
      <w:pPr>
        <w:pStyle w:val="ImageCaption"/>
        <w:rPr/>
      </w:pPr>
      <w:r>
        <w:rPr/>
        <w:t>La fenêtre « Créer un Utilisateur »</w:t>
      </w:r>
    </w:p>
    <w:p>
      <w:pPr>
        <w:pStyle w:val="BodyText"/>
        <w:rPr/>
      </w:pPr>
      <w:r>
        <w:rPr/>
        <w:t>« Gestion des Utilisateurs » liste tous les comptes (Nom Complet, Username / Email, Rôle).</w:t>
      </w:r>
    </w:p>
    <w:p>
      <w:pPr>
        <w:pStyle w:val="Heading4"/>
        <w:rPr/>
      </w:pPr>
      <w:bookmarkStart w:id="267" w:name="créer-un-compte"/>
      <w:bookmarkEnd w:id="267"/>
      <w:r>
        <w:rPr/>
        <w:t>Créer un compte</w:t>
      </w:r>
    </w:p>
    <w:p>
      <w:pPr>
        <w:pStyle w:val="Compact"/>
        <w:numPr>
          <w:ilvl w:val="0"/>
          <w:numId w:val="387"/>
        </w:numPr>
        <w:rPr/>
      </w:pPr>
      <w:r>
        <w:rPr>
          <w:b/>
          <w:bCs/>
        </w:rPr>
        <w:t>Nouvel Utilisateur</w:t>
      </w:r>
      <w:r>
        <w:rPr/>
        <w:t>.</w:t>
      </w:r>
    </w:p>
    <w:p>
      <w:pPr>
        <w:pStyle w:val="Compact"/>
        <w:numPr>
          <w:ilvl w:val="0"/>
          <w:numId w:val="388"/>
        </w:numPr>
        <w:rPr/>
      </w:pPr>
      <w:r>
        <w:rPr/>
        <w:t>Remplissez « Noms », « Prénoms », « Email » et le « Rôle assigné ».</w:t>
      </w:r>
    </w:p>
    <w:p>
      <w:pPr>
        <w:pStyle w:val="Compact"/>
        <w:numPr>
          <w:ilvl w:val="0"/>
          <w:numId w:val="389"/>
        </w:numPr>
        <w:rPr/>
      </w:pPr>
      <w:r>
        <w:rPr>
          <w:b/>
          <w:bCs/>
        </w:rPr>
        <w:t>Enregistrer</w:t>
      </w:r>
      <w:r>
        <w:rPr/>
        <w:t>.</w:t>
      </w:r>
    </w:p>
    <w:p>
      <w:pPr>
        <w:pStyle w:val="Compact"/>
        <w:numPr>
          <w:ilvl w:val="0"/>
          <w:numId w:val="390"/>
        </w:numPr>
        <w:rPr/>
      </w:pPr>
      <w:r>
        <w:rPr/>
        <w:t xml:space="preserve">La fenêtre « Accès Utilisateur » affiche le </w:t>
      </w:r>
      <w:r>
        <w:rPr>
          <w:b/>
          <w:bCs/>
        </w:rPr>
        <w:t>nom d’utilisateur</w:t>
      </w:r>
      <w:r>
        <w:rPr/>
        <w:t xml:space="preserve"> (généré : </w:t>
      </w:r>
      <w:r>
        <w:rPr>
          <w:rStyle w:val="VerbatimChar"/>
        </w:rPr>
        <w:t>noms.prénoms</w:t>
      </w:r>
      <w:r>
        <w:rPr/>
        <w:t xml:space="preserve"> + 3 chiffres) et le </w:t>
      </w:r>
      <w:r>
        <w:rPr>
          <w:b/>
          <w:bCs/>
        </w:rPr>
        <w:t>mot de passe temporaire</w:t>
      </w:r>
      <w:r>
        <w:rPr/>
        <w:t xml:space="preserve">. Utilisez l’icône </w:t>
      </w:r>
      <w:r>
        <w:rPr>
          <w:b/>
          <w:bCs/>
        </w:rPr>
        <w:t>Copier le mot de passe</w:t>
      </w:r>
      <w:r>
        <w:rPr/>
        <w:t xml:space="preserve">, transmettez les identifiants, puis cliquez sur </w:t>
      </w:r>
      <w:r>
        <w:rPr>
          <w:b/>
          <w:bCs/>
        </w:rPr>
        <w:t>J’ai compris</w:t>
      </w:r>
      <w:r>
        <w:rPr/>
        <w:t>.</w:t>
      </w:r>
    </w:p>
    <w:p>
      <w:pPr>
        <w:pStyle w:val="EncadreAttention"/>
        <w:rPr/>
      </w:pPr>
      <w:r>
        <w:rPr>
          <w:b/>
          <w:bCs/>
        </w:rPr>
        <w:t>Attention</w:t>
      </w:r>
    </w:p>
    <w:p>
      <w:pPr>
        <w:pStyle w:val="EncadreAttention"/>
        <w:rPr/>
      </w:pPr>
      <w:r>
        <w:rPr/>
        <w:t>Le mot de passe n’est affiché qu’une seule fois.</w:t>
      </w:r>
    </w:p>
    <w:p>
      <w:pPr>
        <w:pStyle w:val="Normal"/>
        <w:spacing w:before="0" w:after="60"/>
        <w:rPr>
          <w:sz w:val="8"/>
        </w:rPr>
      </w:pPr>
      <w:r>
        <w:rPr>
          <w:sz w:val="8"/>
        </w:rPr>
      </w:r>
      <w:bookmarkStart w:id="268" w:name="créer-un-compte"/>
      <w:bookmarkStart w:id="269" w:name="créer-un-compte"/>
      <w:bookmarkEnd w:id="269"/>
    </w:p>
    <w:p>
      <w:pPr>
        <w:pStyle w:val="Heading4"/>
        <w:rPr/>
      </w:pPr>
      <w:bookmarkStart w:id="270" w:name="réinitialiser-un-mot-de-passe"/>
      <w:r>
        <w:rPr/>
        <w:t>Réinitialiser un mot de passe</w:t>
      </w:r>
    </w:p>
    <w:p>
      <w:pPr>
        <w:pStyle w:val="FirstParagraph"/>
        <w:rPr/>
      </w:pPr>
      <w:r>
        <w:rPr/>
        <w:t xml:space="preserve">Icône </w:t>
      </w:r>
      <w:r>
        <w:rPr>
          <w:b/>
          <w:bCs/>
        </w:rPr>
        <w:t>Changer le mot de passe</w:t>
      </w:r>
      <w:r>
        <w:rPr/>
        <w:t xml:space="preserve"> sur la ligne : un nouveau mot de passe temporaire s’affiche.</w:t>
      </w:r>
      <w:bookmarkEnd w:id="270"/>
    </w:p>
    <w:p>
      <w:pPr>
        <w:pStyle w:val="Heading4"/>
        <w:rPr/>
      </w:pPr>
      <w:bookmarkStart w:id="271" w:name="modifier-désactiver-supprimer"/>
      <w:bookmarkEnd w:id="271"/>
      <w:r>
        <w:rPr/>
        <w:t>Modifier, désactiver, supprimer</w:t>
      </w:r>
    </w:p>
    <w:p>
      <w:pPr>
        <w:pStyle w:val="FirstParagraph"/>
        <w:rPr/>
      </w:pPr>
      <w:r>
        <w:rPr/>
        <w:t>Le crayon permet de changer le rôle ou les informations. La corbeille supprime le compte.</w:t>
      </w:r>
    </w:p>
    <w:p>
      <w:pPr>
        <w:pStyle w:val="EncadreInfo"/>
        <w:rPr/>
      </w:pPr>
      <w:r>
        <w:rPr>
          <w:b/>
          <w:bCs/>
        </w:rPr>
        <w:t>Comptes formateurs et étudiants</w:t>
      </w:r>
    </w:p>
    <w:p>
      <w:pPr>
        <w:pStyle w:val="EncadreInfo"/>
        <w:rPr/>
      </w:pPr>
      <w:r>
        <w:rPr/>
        <w:t xml:space="preserve">Les comptes des formateurs se créent depuis </w:t>
      </w:r>
      <w:r>
        <w:rPr>
          <w:b/>
          <w:bCs/>
        </w:rPr>
        <w:t>Enseignants</w:t>
      </w:r>
      <w:r>
        <w:rPr/>
        <w:t xml:space="preserve"> et ceux des étudiants automatiquement. Ne créez pas ici de compte avec le rôle </w:t>
      </w:r>
      <w:r>
        <w:rPr>
          <w:i/>
          <w:iCs/>
        </w:rPr>
        <w:t>formateur</w:t>
      </w:r>
      <w:r>
        <w:rPr/>
        <w:t xml:space="preserve"> ou </w:t>
      </w:r>
      <w:r>
        <w:rPr>
          <w:i/>
          <w:iCs/>
        </w:rPr>
        <w:t>étudiant</w:t>
      </w:r>
      <w:r>
        <w:rPr/>
        <w:t xml:space="preserve"> : il ne serait relié à aucun dossier.</w:t>
      </w:r>
    </w:p>
    <w:p>
      <w:pPr>
        <w:pStyle w:val="Normal"/>
        <w:spacing w:before="0" w:after="60"/>
        <w:rPr>
          <w:sz w:val="8"/>
        </w:rPr>
      </w:pPr>
      <w:r>
        <w:rPr>
          <w:sz w:val="8"/>
        </w:rPr>
      </w:r>
      <w:bookmarkStart w:id="272" w:name="onglet-utilisateurs-comptes-du-personnel"/>
      <w:bookmarkStart w:id="273" w:name="modifier-désactiver-supprimer"/>
      <w:bookmarkStart w:id="274" w:name="onglet-utilisateurs-comptes-du-personnel"/>
      <w:bookmarkStart w:id="275" w:name="modifier-désactiver-supprimer"/>
      <w:bookmarkEnd w:id="274"/>
      <w:bookmarkEnd w:id="275"/>
    </w:p>
    <w:p>
      <w:pPr>
        <w:pStyle w:val="Heading3"/>
        <w:rPr/>
      </w:pPr>
      <w:bookmarkStart w:id="276" w:name="creer-un-role"/>
      <w:r>
        <w:rPr/>
        <w:t xml:space="preserve">Onglet </w:t>
      </w:r>
      <w:r>
        <w:rPr>
          <w:i/>
          <w:iCs/>
        </w:rPr>
        <w:t>Rôles</w:t>
      </w:r>
      <w:r>
        <w:rPr/>
        <w:t xml:space="preserve"> — créer un rôle</w:t>
      </w:r>
    </w:p>
    <w:p>
      <w:pPr>
        <w:pStyle w:val="Normal"/>
        <w:jc w:val="center"/>
        <w:rPr/>
      </w:pPr>
      <w:r>
        <w:rPr/>
        <w:drawing>
          <wp:inline distT="0" distB="0" distL="0" distR="0">
            <wp:extent cx="5334000" cy="3333750"/>
            <wp:effectExtent l="0" t="0" r="0" b="0"/>
            <wp:docPr id="88" name="Image88" descr="Les rôles et leurs dro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88" descr="Les rôles et leurs droits"/>
                    <pic:cNvPicPr>
                      <a:picLocks noChangeAspect="1" noChangeArrowheads="1"/>
                    </pic:cNvPicPr>
                  </pic:nvPicPr>
                  <pic:blipFill>
                    <a:blip r:embed="rId89"/>
                    <a:stretch>
                      <a:fillRect/>
                    </a:stretch>
                  </pic:blipFill>
                  <pic:spPr bwMode="auto">
                    <a:xfrm>
                      <a:off x="0" y="0"/>
                      <a:ext cx="5334000" cy="3333750"/>
                    </a:xfrm>
                    <a:prstGeom prst="rect">
                      <a:avLst/>
                    </a:prstGeom>
                  </pic:spPr>
                </pic:pic>
              </a:graphicData>
            </a:graphic>
          </wp:inline>
        </w:drawing>
      </w:r>
    </w:p>
    <w:p>
      <w:pPr>
        <w:pStyle w:val="ImageCaption"/>
        <w:rPr/>
      </w:pPr>
      <w:r>
        <w:rPr/>
        <w:t>Les rôles et leurs droits</w:t>
      </w:r>
    </w:p>
    <w:p>
      <w:pPr>
        <w:pStyle w:val="Normal"/>
        <w:jc w:val="center"/>
        <w:rPr/>
      </w:pPr>
      <w:r>
        <w:rPr/>
        <w:drawing>
          <wp:inline distT="0" distB="0" distL="0" distR="0">
            <wp:extent cx="5334000" cy="3333750"/>
            <wp:effectExtent l="0" t="0" r="0" b="0"/>
            <wp:docPr id="89" name="Image89" descr="La fenêtre « Créer un Rô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89" descr="La fenêtre « Créer un Rôle »"/>
                    <pic:cNvPicPr>
                      <a:picLocks noChangeAspect="1" noChangeArrowheads="1"/>
                    </pic:cNvPicPr>
                  </pic:nvPicPr>
                  <pic:blipFill>
                    <a:blip r:embed="rId90"/>
                    <a:stretch>
                      <a:fillRect/>
                    </a:stretch>
                  </pic:blipFill>
                  <pic:spPr bwMode="auto">
                    <a:xfrm>
                      <a:off x="0" y="0"/>
                      <a:ext cx="5334000" cy="3333750"/>
                    </a:xfrm>
                    <a:prstGeom prst="rect">
                      <a:avLst/>
                    </a:prstGeom>
                  </pic:spPr>
                </pic:pic>
              </a:graphicData>
            </a:graphic>
          </wp:inline>
        </w:drawing>
      </w:r>
    </w:p>
    <w:p>
      <w:pPr>
        <w:pStyle w:val="ImageCaption"/>
        <w:rPr/>
      </w:pPr>
      <w:r>
        <w:rPr/>
        <w:t>La fenêtre « Créer un Rôle »</w:t>
      </w:r>
    </w:p>
    <w:p>
      <w:pPr>
        <w:pStyle w:val="BodyText"/>
        <w:rPr/>
      </w:pPr>
      <w:r>
        <w:rPr/>
        <w:t>« Rôles &amp; Autorisations » liste les rôles (Code, Libellé, Droits d’accès).</w:t>
      </w:r>
    </w:p>
    <w:p>
      <w:pPr>
        <w:pStyle w:val="Compact"/>
        <w:numPr>
          <w:ilvl w:val="0"/>
          <w:numId w:val="391"/>
        </w:numPr>
        <w:rPr/>
      </w:pPr>
      <w:r>
        <w:rPr>
          <w:b/>
          <w:bCs/>
        </w:rPr>
        <w:t>Nouveau Rôle</w:t>
      </w:r>
      <w:r>
        <w:rPr/>
        <w:t>.</w:t>
      </w:r>
    </w:p>
    <w:p>
      <w:pPr>
        <w:pStyle w:val="Compact"/>
        <w:numPr>
          <w:ilvl w:val="0"/>
          <w:numId w:val="392"/>
        </w:numPr>
        <w:rPr/>
      </w:pPr>
      <w:r>
        <w:rPr/>
        <w:t xml:space="preserve">« Code unique (ex: ADMIN) » : un code court sans espace (ex. </w:t>
      </w:r>
      <w:r>
        <w:rPr>
          <w:rStyle w:val="VerbatimChar"/>
        </w:rPr>
        <w:t>secretaire</w:t>
      </w:r>
      <w:r>
        <w:rPr/>
        <w:t xml:space="preserve">, </w:t>
      </w:r>
      <w:r>
        <w:rPr>
          <w:rStyle w:val="VerbatimChar"/>
        </w:rPr>
        <w:t>comptable</w:t>
      </w:r>
      <w:r>
        <w:rPr/>
        <w:t xml:space="preserve">). Les codes </w:t>
      </w:r>
      <w:r>
        <w:rPr>
          <w:rStyle w:val="VerbatimChar"/>
        </w:rPr>
        <w:t>admin</w:t>
      </w:r>
      <w:r>
        <w:rPr/>
        <w:t xml:space="preserve"> et </w:t>
      </w:r>
      <w:r>
        <w:rPr>
          <w:rStyle w:val="VerbatimChar"/>
        </w:rPr>
        <w:t>superadmin</w:t>
      </w:r>
      <w:r>
        <w:rPr/>
        <w:t xml:space="preserve"> donnent accès à tout.</w:t>
      </w:r>
    </w:p>
    <w:p>
      <w:pPr>
        <w:pStyle w:val="Compact"/>
        <w:numPr>
          <w:ilvl w:val="0"/>
          <w:numId w:val="393"/>
        </w:numPr>
        <w:rPr/>
      </w:pPr>
      <w:r>
        <w:rPr/>
        <w:t>« Libellé complet » : le nom affiché (ex. « Secrétaire de direction »).</w:t>
      </w:r>
    </w:p>
    <w:p>
      <w:pPr>
        <w:pStyle w:val="Compact"/>
        <w:numPr>
          <w:ilvl w:val="0"/>
          <w:numId w:val="394"/>
        </w:numPr>
        <w:rPr/>
      </w:pPr>
      <w:r>
        <w:rPr/>
        <w:t xml:space="preserve">Pour chaque domaine — </w:t>
      </w:r>
      <w:r>
        <w:rPr>
          <w:b/>
          <w:bCs/>
        </w:rPr>
        <w:t>Étudiants</w:t>
      </w:r>
      <w:r>
        <w:rPr/>
        <w:t xml:space="preserve">, </w:t>
      </w:r>
      <w:r>
        <w:rPr>
          <w:b/>
          <w:bCs/>
        </w:rPr>
        <w:t>Pédagogie (Notes, Cours)</w:t>
      </w:r>
      <w:r>
        <w:rPr/>
        <w:t xml:space="preserve">, </w:t>
      </w:r>
      <w:r>
        <w:rPr>
          <w:b/>
          <w:bCs/>
        </w:rPr>
        <w:t>Finances</w:t>
      </w:r>
      <w:r>
        <w:rPr/>
        <w:t xml:space="preserve">, </w:t>
      </w:r>
      <w:r>
        <w:rPr>
          <w:b/>
          <w:bCs/>
        </w:rPr>
        <w:t>Logistique / Inventaire</w:t>
      </w:r>
      <w:r>
        <w:rPr/>
        <w:t xml:space="preserve">, </w:t>
      </w:r>
      <w:r>
        <w:rPr>
          <w:b/>
          <w:bCs/>
        </w:rPr>
        <w:t>Ressources Humaines</w:t>
      </w:r>
      <w:r>
        <w:rPr/>
        <w:t xml:space="preserve"> — choisissez </w:t>
      </w:r>
      <w:r>
        <w:rPr>
          <w:b/>
          <w:bCs/>
        </w:rPr>
        <w:t>Aucun</w:t>
      </w:r>
      <w:r>
        <w:rPr/>
        <w:t xml:space="preserve">, </w:t>
      </w:r>
      <w:r>
        <w:rPr>
          <w:b/>
          <w:bCs/>
        </w:rPr>
        <w:t>Lecture</w:t>
      </w:r>
      <w:r>
        <w:rPr/>
        <w:t xml:space="preserve"> ou </w:t>
      </w:r>
      <w:r>
        <w:rPr>
          <w:b/>
          <w:bCs/>
        </w:rPr>
        <w:t>Écriture</w:t>
      </w:r>
      <w:r>
        <w:rPr/>
        <w:t>.</w:t>
      </w:r>
    </w:p>
    <w:p>
      <w:pPr>
        <w:pStyle w:val="Compact"/>
        <w:numPr>
          <w:ilvl w:val="0"/>
          <w:numId w:val="395"/>
        </w:numPr>
        <w:rPr/>
      </w:pPr>
      <w:r>
        <w:rPr>
          <w:b/>
          <w:bCs/>
        </w:rPr>
        <w:t>Enregistrer</w:t>
      </w:r>
      <w:r>
        <w:rPr/>
        <w:t>.</w:t>
      </w:r>
    </w:p>
    <w:p>
      <w:pPr>
        <w:pStyle w:val="FirstParagraph"/>
        <w:rPr/>
      </w:pPr>
      <w:r>
        <w:rPr/>
        <w:t xml:space="preserve">Les droits sont expliqués dans Rôles et droits d’accès. Les personnes concernées doivent </w:t>
      </w:r>
      <w:r>
        <w:rPr>
          <w:b/>
          <w:bCs/>
        </w:rPr>
        <w:t>se déconnecter puis se reconnecter</w:t>
      </w:r>
      <w:r>
        <w:rPr/>
        <w:t xml:space="preserve"> pour voir leurs nouveaux droits.</w:t>
      </w:r>
      <w:bookmarkEnd w:id="276"/>
    </w:p>
    <w:p>
      <w:pPr>
        <w:pStyle w:val="Heading3"/>
        <w:rPr/>
      </w:pPr>
      <w:bookmarkStart w:id="277" w:name="onglet-apparence-école"/>
      <w:bookmarkEnd w:id="277"/>
      <w:r>
        <w:rPr/>
        <w:t xml:space="preserve">Onglet </w:t>
      </w:r>
      <w:r>
        <w:rPr>
          <w:i/>
          <w:iCs/>
        </w:rPr>
        <w:t>Apparence &amp; École</w:t>
      </w:r>
    </w:p>
    <w:p>
      <w:pPr>
        <w:pStyle w:val="Normal"/>
        <w:jc w:val="center"/>
        <w:rPr/>
      </w:pPr>
      <w:r>
        <w:rPr/>
        <w:drawing>
          <wp:inline distT="0" distB="0" distL="0" distR="0">
            <wp:extent cx="5334000" cy="3333750"/>
            <wp:effectExtent l="0" t="0" r="0" b="0"/>
            <wp:docPr id="90" name="Image90" descr="Configuration de l’établissement et appa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90" descr="Configuration de l’établissement et apparence"/>
                    <pic:cNvPicPr>
                      <a:picLocks noChangeAspect="1" noChangeArrowheads="1"/>
                    </pic:cNvPicPr>
                  </pic:nvPicPr>
                  <pic:blipFill>
                    <a:blip r:embed="rId91"/>
                    <a:stretch>
                      <a:fillRect/>
                    </a:stretch>
                  </pic:blipFill>
                  <pic:spPr bwMode="auto">
                    <a:xfrm>
                      <a:off x="0" y="0"/>
                      <a:ext cx="5334000" cy="3333750"/>
                    </a:xfrm>
                    <a:prstGeom prst="rect">
                      <a:avLst/>
                    </a:prstGeom>
                  </pic:spPr>
                </pic:pic>
              </a:graphicData>
            </a:graphic>
          </wp:inline>
        </w:drawing>
      </w:r>
    </w:p>
    <w:p>
      <w:pPr>
        <w:pStyle w:val="ImageCaption"/>
        <w:rPr/>
      </w:pPr>
      <w:r>
        <w:rPr/>
        <w:t>Configuration de l’établissement et apparence</w:t>
      </w:r>
    </w:p>
    <w:p>
      <w:pPr>
        <w:pStyle w:val="BodyText"/>
        <w:rPr/>
      </w:pPr>
      <w:r>
        <w:rPr/>
        <w:t xml:space="preserve">« Configuration de l’Établissement &amp; Apparence Globale ». Ces données s’appliquent partout, </w:t>
      </w:r>
      <w:r>
        <w:rPr>
          <w:b/>
          <w:bCs/>
        </w:rPr>
        <w:t>y compris sur les documents PDF générés</w:t>
      </w:r>
      <w:r>
        <w:rPr/>
        <w:t xml:space="preserve"> (relevés, certificats, cartes).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323"/>
        <w:gridCol w:w="7314"/>
      </w:tblGrid>
      <w:tr>
        <w:trPr>
          <w:tblHeader w:val="true"/>
          <w:cantSplit w:val="true"/>
        </w:trPr>
        <w:tc>
          <w:tcPr>
            <w:tcW w:w="232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Bloc</w:t>
            </w:r>
          </w:p>
        </w:tc>
        <w:tc>
          <w:tcPr>
            <w:tcW w:w="731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Champs</w:t>
            </w:r>
          </w:p>
        </w:tc>
      </w:tr>
      <w:tr>
        <w:trPr>
          <w:cantSplit w:val="true"/>
        </w:trPr>
        <w:tc>
          <w:tcPr>
            <w:tcW w:w="232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Identité visuelle</w:t>
            </w:r>
          </w:p>
        </w:tc>
        <w:tc>
          <w:tcPr>
            <w:tcW w:w="73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Logo principal</w:t>
            </w:r>
            <w:r>
              <w:rPr>
                <w:rFonts w:eastAsia="Calibri" w:cs="Calibri"/>
                <w:kern w:val="0"/>
                <w:sz w:val="19"/>
                <w:szCs w:val="19"/>
                <w:lang w:val="fr-FR" w:eastAsia="en-US" w:bidi="ar-SA"/>
              </w:rPr>
              <w:t xml:space="preserve"> (affiché dans le menu et sur la page de connexion), </w:t>
            </w:r>
            <w:r>
              <w:rPr>
                <w:rFonts w:eastAsia="Calibri" w:cs="Calibri"/>
                <w:b/>
                <w:bCs/>
                <w:kern w:val="0"/>
                <w:sz w:val="19"/>
                <w:szCs w:val="19"/>
                <w:lang w:val="fr-FR" w:eastAsia="en-US" w:bidi="ar-SA"/>
              </w:rPr>
              <w:t>Logo documents</w:t>
            </w:r>
            <w:r>
              <w:rPr>
                <w:rFonts w:eastAsia="Calibri" w:cs="Calibri"/>
                <w:kern w:val="0"/>
                <w:sz w:val="19"/>
                <w:szCs w:val="19"/>
                <w:lang w:val="fr-FR" w:eastAsia="en-US" w:bidi="ar-SA"/>
              </w:rPr>
              <w:t xml:space="preserve"> (en-tête des relevés et certificats), « Couleur Primaire », « Couleur Secondaire », « Couleur Texte », « Typographie (CSS Font Family) »</w:t>
            </w:r>
          </w:p>
        </w:tc>
      </w:tr>
      <w:tr>
        <w:trPr>
          <w:cantSplit w:val="true"/>
        </w:trPr>
        <w:tc>
          <w:tcPr>
            <w:tcW w:w="232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Informations de contact</w:t>
            </w:r>
          </w:p>
        </w:tc>
        <w:tc>
          <w:tcPr>
            <w:tcW w:w="73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Nom de l’établissement », « Téléphone », « Email », « Adresse », « Ville », « Site Web », « Slogan / Devise »</w:t>
            </w:r>
          </w:p>
        </w:tc>
      </w:tr>
      <w:tr>
        <w:trPr>
          <w:cantSplit w:val="true"/>
        </w:trPr>
        <w:tc>
          <w:tcPr>
            <w:tcW w:w="232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Direction</w:t>
            </w:r>
          </w:p>
        </w:tc>
        <w:tc>
          <w:tcPr>
            <w:tcW w:w="73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 Nom du Directeur », « Titre du Directeur », </w:t>
            </w:r>
            <w:r>
              <w:rPr>
                <w:rFonts w:eastAsia="Calibri" w:cs="Calibri"/>
                <w:b/>
                <w:bCs/>
                <w:kern w:val="0"/>
                <w:sz w:val="19"/>
                <w:szCs w:val="19"/>
                <w:lang w:val="fr-FR" w:eastAsia="en-US" w:bidi="ar-SA"/>
              </w:rPr>
              <w:t>Signature</w:t>
            </w:r>
            <w:r>
              <w:rPr>
                <w:rFonts w:eastAsia="Calibri" w:cs="Calibri"/>
                <w:kern w:val="0"/>
                <w:sz w:val="19"/>
                <w:szCs w:val="19"/>
                <w:lang w:val="fr-FR" w:eastAsia="en-US" w:bidi="ar-SA"/>
              </w:rPr>
              <w:t xml:space="preserve"> (image affichée sur les documents)</w:t>
            </w:r>
          </w:p>
        </w:tc>
      </w:tr>
    </w:tbl>
    <w:p>
      <w:pPr>
        <w:pStyle w:val="BodyText"/>
        <w:rPr/>
      </w:pPr>
      <w:r>
        <w:rPr/>
        <w:t xml:space="preserve">Cliquez sur </w:t>
      </w:r>
      <w:r>
        <w:rPr>
          <w:b/>
          <w:bCs/>
        </w:rPr>
        <w:t>Enregistrer la configuration</w:t>
      </w:r>
      <w:r>
        <w:rPr/>
        <w:t>. Rechargez la page pour voir les nouvelles couleurs.</w:t>
      </w:r>
    </w:p>
    <w:p>
      <w:pPr>
        <w:pStyle w:val="EncadreConseil"/>
        <w:rPr/>
      </w:pPr>
      <w:r>
        <w:rPr>
          <w:b/>
          <w:bCs/>
        </w:rPr>
        <w:t>Images</w:t>
      </w:r>
    </w:p>
    <w:p>
      <w:pPr>
        <w:pStyle w:val="EncadreConseil"/>
        <w:rPr/>
      </w:pPr>
      <w:r>
        <w:rPr/>
        <w:t>Utilisez des images PNG à fond transparent : logo d’environ 400 × 400 pixels, signature d’environ 600 × 200 pixels.</w:t>
      </w:r>
    </w:p>
    <w:p>
      <w:pPr>
        <w:pStyle w:val="Normal"/>
        <w:spacing w:before="0" w:after="60"/>
        <w:rPr>
          <w:sz w:val="8"/>
        </w:rPr>
      </w:pPr>
      <w:r>
        <w:rPr>
          <w:sz w:val="8"/>
        </w:rPr>
      </w:r>
      <w:bookmarkStart w:id="278" w:name="onglet-apparence-école"/>
      <w:bookmarkStart w:id="279" w:name="onglet-apparence-école"/>
      <w:bookmarkEnd w:id="279"/>
    </w:p>
    <w:p>
      <w:pPr>
        <w:pStyle w:val="Heading2"/>
        <w:rPr/>
      </w:pPr>
      <w:bookmarkStart w:id="280" w:name="__RefHeading___Toc15186_1458957718"/>
      <w:bookmarkStart w:id="281" w:name="portail-formateur"/>
      <w:bookmarkEnd w:id="280"/>
      <w:r>
        <w:rPr/>
        <w:t>Portail formateur</w:t>
      </w:r>
    </w:p>
    <w:p>
      <w:pPr>
        <w:pStyle w:val="FirstParagraph"/>
        <w:rPr/>
      </w:pPr>
      <w:r>
        <w:rPr/>
        <w:t>Le portail formateur est votre espace personnel d’enseignant. Vous y accédez avec les identifiants remis par l’administration (voir Premiers pas).</w:t>
      </w:r>
    </w:p>
    <w:p>
      <w:pPr>
        <w:pStyle w:val="BodyText"/>
        <w:rPr/>
      </w:pPr>
      <w:r>
        <w:rPr/>
        <w:t xml:space="preserve">Menu : </w:t>
      </w:r>
      <w:r>
        <w:rPr>
          <w:b/>
          <w:bCs/>
        </w:rPr>
        <w:t>Tableau de bord</w:t>
      </w:r>
      <w:r>
        <w:rPr/>
        <w:t xml:space="preserve">, </w:t>
      </w:r>
      <w:r>
        <w:rPr>
          <w:b/>
          <w:bCs/>
        </w:rPr>
        <w:t>Mes Classes</w:t>
      </w:r>
      <w:r>
        <w:rPr/>
        <w:t xml:space="preserve">, </w:t>
      </w:r>
      <w:r>
        <w:rPr>
          <w:b/>
          <w:bCs/>
        </w:rPr>
        <w:t>Saisie des Notes</w:t>
      </w:r>
      <w:r>
        <w:rPr/>
        <w:t xml:space="preserve">, </w:t>
      </w:r>
      <w:r>
        <w:rPr>
          <w:b/>
          <w:bCs/>
        </w:rPr>
        <w:t>Emploi du temps</w:t>
      </w:r>
      <w:r>
        <w:rPr/>
        <w:t xml:space="preserve">, </w:t>
      </w:r>
      <w:r>
        <w:rPr>
          <w:b/>
          <w:bCs/>
        </w:rPr>
        <w:t>Mes Cours</w:t>
      </w:r>
      <w:r>
        <w:rPr/>
        <w:t xml:space="preserve">, </w:t>
      </w:r>
      <w:r>
        <w:rPr>
          <w:b/>
          <w:bCs/>
        </w:rPr>
        <w:t>Épreuves</w:t>
      </w:r>
      <w:r>
        <w:rPr/>
        <w:t xml:space="preserve">, </w:t>
      </w:r>
      <w:r>
        <w:rPr>
          <w:b/>
          <w:bCs/>
        </w:rPr>
        <w:t>Mes heures</w:t>
      </w:r>
      <w:r>
        <w:rPr/>
        <w:t xml:space="preserve">, </w:t>
      </w:r>
      <w:r>
        <w:rPr>
          <w:b/>
          <w:bCs/>
        </w:rPr>
        <w:t>Mon Suivi</w:t>
      </w:r>
      <w:r>
        <w:rPr/>
        <w:t xml:space="preserve">, et </w:t>
      </w:r>
      <w:r>
        <w:rPr>
          <w:b/>
          <w:bCs/>
        </w:rPr>
        <w:t>Coordination</w:t>
      </w:r>
      <w:r>
        <w:rPr/>
        <w:t xml:space="preserve"> si vous êtes coordonnateur de filière.</w:t>
      </w:r>
    </w:p>
    <w:p>
      <w:pPr>
        <w:pStyle w:val="EncadreInfo"/>
        <w:rPr/>
      </w:pPr>
      <w:r>
        <w:rPr>
          <w:b/>
          <w:bCs/>
        </w:rPr>
        <w:t>Vous ne voyez rien ?</w:t>
      </w:r>
    </w:p>
    <w:p>
      <w:pPr>
        <w:pStyle w:val="EncadreInfo"/>
        <w:rPr/>
      </w:pPr>
      <w:r>
        <w:rPr/>
        <w:t>Vos classes et cours proviennent de l’</w:t>
      </w:r>
      <w:r>
        <w:rPr>
          <w:b/>
          <w:bCs/>
        </w:rPr>
        <w:t>emploi du temps</w:t>
      </w:r>
      <w:r>
        <w:rPr/>
        <w:t xml:space="preserve"> saisi par l’administration (ou, à défaut, des cours indiqués dans votre fiche). Si « Aucune affectation trouvée pour cette année académique. » s’affiche, contactez l’administration.</w:t>
      </w:r>
    </w:p>
    <w:p>
      <w:pPr>
        <w:pStyle w:val="Normal"/>
        <w:spacing w:before="0" w:after="60"/>
        <w:rPr>
          <w:sz w:val="8"/>
        </w:rPr>
      </w:pPr>
      <w:r>
        <w:rPr>
          <w:sz w:val="8"/>
        </w:rPr>
      </w:r>
    </w:p>
    <w:p>
      <w:pPr>
        <w:pStyle w:val="Heading3"/>
        <w:rPr/>
      </w:pPr>
      <w:bookmarkStart w:id="282" w:name="tableau-de-bord"/>
      <w:r>
        <w:rPr/>
        <w:t>Tableau de bord</w:t>
      </w:r>
    </w:p>
    <w:p>
      <w:pPr>
        <w:pStyle w:val="Normal"/>
        <w:jc w:val="center"/>
        <w:rPr/>
      </w:pPr>
      <w:r>
        <w:rPr/>
        <w:drawing>
          <wp:inline distT="0" distB="0" distL="0" distR="0">
            <wp:extent cx="5334000" cy="3333750"/>
            <wp:effectExtent l="0" t="0" r="0" b="0"/>
            <wp:docPr id="91" name="Image91" descr="Le tableau de bord du forma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91" descr="Le tableau de bord du formateur"/>
                    <pic:cNvPicPr>
                      <a:picLocks noChangeAspect="1" noChangeArrowheads="1"/>
                    </pic:cNvPicPr>
                  </pic:nvPicPr>
                  <pic:blipFill>
                    <a:blip r:embed="rId92"/>
                    <a:stretch>
                      <a:fillRect/>
                    </a:stretch>
                  </pic:blipFill>
                  <pic:spPr bwMode="auto">
                    <a:xfrm>
                      <a:off x="0" y="0"/>
                      <a:ext cx="5334000" cy="3333750"/>
                    </a:xfrm>
                    <a:prstGeom prst="rect">
                      <a:avLst/>
                    </a:prstGeom>
                  </pic:spPr>
                </pic:pic>
              </a:graphicData>
            </a:graphic>
          </wp:inline>
        </w:drawing>
      </w:r>
    </w:p>
    <w:p>
      <w:pPr>
        <w:pStyle w:val="ImageCaption"/>
        <w:rPr/>
      </w:pPr>
      <w:r>
        <w:rPr/>
        <w:t>Le tableau de bord du formateur</w:t>
      </w:r>
    </w:p>
    <w:p>
      <w:pPr>
        <w:pStyle w:val="Compact"/>
        <w:numPr>
          <w:ilvl w:val="0"/>
          <w:numId w:val="396"/>
        </w:numPr>
        <w:rPr/>
      </w:pPr>
      <w:r>
        <w:rPr/>
        <w:t>Vos chiffres clés : nombre de classes, d’étudiants…</w:t>
      </w:r>
    </w:p>
    <w:p>
      <w:pPr>
        <w:pStyle w:val="Compact"/>
        <w:numPr>
          <w:ilvl w:val="0"/>
          <w:numId w:val="397"/>
        </w:numPr>
        <w:rPr/>
      </w:pPr>
      <w:r>
        <w:rPr>
          <w:b/>
          <w:bCs/>
        </w:rPr>
        <w:t>Prochaines Séances</w:t>
      </w:r>
      <w:r>
        <w:rPr/>
        <w:t xml:space="preserve"> : Jour, Horaire, Module, Classe, Salle.</w:t>
      </w:r>
    </w:p>
    <w:p>
      <w:pPr>
        <w:pStyle w:val="Compact"/>
        <w:numPr>
          <w:ilvl w:val="0"/>
          <w:numId w:val="398"/>
        </w:numPr>
        <w:rPr/>
      </w:pPr>
      <w:r>
        <w:rPr>
          <w:b/>
          <w:bCs/>
        </w:rPr>
        <w:t>Mes Classes</w:t>
      </w:r>
      <w:r>
        <w:rPr/>
        <w:t xml:space="preserve"> : accès rapide.</w:t>
      </w:r>
      <w:bookmarkEnd w:id="282"/>
    </w:p>
    <w:p>
      <w:pPr>
        <w:pStyle w:val="Heading3"/>
        <w:rPr/>
      </w:pPr>
      <w:bookmarkStart w:id="283" w:name="mes-classes"/>
      <w:r>
        <w:rPr/>
        <w:t>Mes Classes</w:t>
      </w:r>
    </w:p>
    <w:p>
      <w:pPr>
        <w:pStyle w:val="Normal"/>
        <w:jc w:val="center"/>
        <w:rPr/>
      </w:pPr>
      <w:r>
        <w:rPr/>
        <w:drawing>
          <wp:inline distT="0" distB="0" distL="0" distR="0">
            <wp:extent cx="5334000" cy="3333750"/>
            <wp:effectExtent l="0" t="0" r="0" b="0"/>
            <wp:docPr id="92" name="Image92" descr="Mes Classes &amp; Étudi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92" descr="Mes Classes &amp; Étudiants"/>
                    <pic:cNvPicPr>
                      <a:picLocks noChangeAspect="1" noChangeArrowheads="1"/>
                    </pic:cNvPicPr>
                  </pic:nvPicPr>
                  <pic:blipFill>
                    <a:blip r:embed="rId93"/>
                    <a:stretch>
                      <a:fillRect/>
                    </a:stretch>
                  </pic:blipFill>
                  <pic:spPr bwMode="auto">
                    <a:xfrm>
                      <a:off x="0" y="0"/>
                      <a:ext cx="5334000" cy="3333750"/>
                    </a:xfrm>
                    <a:prstGeom prst="rect">
                      <a:avLst/>
                    </a:prstGeom>
                  </pic:spPr>
                </pic:pic>
              </a:graphicData>
            </a:graphic>
          </wp:inline>
        </w:drawing>
      </w:r>
    </w:p>
    <w:p>
      <w:pPr>
        <w:pStyle w:val="ImageCaption"/>
        <w:rPr/>
      </w:pPr>
      <w:r>
        <w:rPr/>
        <w:t>Mes Classes &amp; Étudiants</w:t>
      </w:r>
    </w:p>
    <w:p>
      <w:pPr>
        <w:pStyle w:val="BodyText"/>
        <w:rPr/>
      </w:pPr>
      <w:bookmarkStart w:id="284" w:name="mes-classes"/>
      <w:r>
        <w:rPr/>
        <w:t>« Mes Classes &amp; Étudiants » : pour chaque classe et cours qui vous est attribué, la liste des étudiants inscrits (Matricule, Nom complet, Email).</w:t>
      </w:r>
      <w:bookmarkEnd w:id="284"/>
    </w:p>
    <w:p>
      <w:pPr>
        <w:pStyle w:val="Heading3"/>
        <w:rPr/>
      </w:pPr>
      <w:bookmarkStart w:id="285" w:name="saisie-des-notes"/>
      <w:r>
        <w:rPr/>
        <w:t>Saisie des Notes</w:t>
      </w:r>
    </w:p>
    <w:p>
      <w:pPr>
        <w:pStyle w:val="Normal"/>
        <w:jc w:val="center"/>
        <w:rPr/>
      </w:pPr>
      <w:r>
        <w:rPr/>
        <w:drawing>
          <wp:inline distT="0" distB="0" distL="0" distR="0">
            <wp:extent cx="5334000" cy="3333750"/>
            <wp:effectExtent l="0" t="0" r="0" b="0"/>
            <wp:docPr id="93" name="Image93" descr="La saisie des notes par le forma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93" descr="La saisie des notes par le formateur"/>
                    <pic:cNvPicPr>
                      <a:picLocks noChangeAspect="1" noChangeArrowheads="1"/>
                    </pic:cNvPicPr>
                  </pic:nvPicPr>
                  <pic:blipFill>
                    <a:blip r:embed="rId94"/>
                    <a:stretch>
                      <a:fillRect/>
                    </a:stretch>
                  </pic:blipFill>
                  <pic:spPr bwMode="auto">
                    <a:xfrm>
                      <a:off x="0" y="0"/>
                      <a:ext cx="5334000" cy="3333750"/>
                    </a:xfrm>
                    <a:prstGeom prst="rect">
                      <a:avLst/>
                    </a:prstGeom>
                  </pic:spPr>
                </pic:pic>
              </a:graphicData>
            </a:graphic>
          </wp:inline>
        </w:drawing>
      </w:r>
    </w:p>
    <w:p>
      <w:pPr>
        <w:pStyle w:val="ImageCaption"/>
        <w:rPr/>
      </w:pPr>
      <w:r>
        <w:rPr/>
        <w:t>La saisie des notes par le formateur</w:t>
      </w:r>
    </w:p>
    <w:p>
      <w:pPr>
        <w:pStyle w:val="Compact"/>
        <w:numPr>
          <w:ilvl w:val="0"/>
          <w:numId w:val="399"/>
        </w:numPr>
        <w:rPr/>
      </w:pPr>
      <w:r>
        <w:rPr/>
        <w:t>Choisissez la « Classe » puis le « Module ».</w:t>
      </w:r>
    </w:p>
    <w:p>
      <w:pPr>
        <w:pStyle w:val="Compact"/>
        <w:numPr>
          <w:ilvl w:val="0"/>
          <w:numId w:val="400"/>
        </w:numPr>
        <w:rPr/>
      </w:pPr>
      <w:r>
        <w:rPr/>
        <w:t xml:space="preserve">La liste des étudiants apparaît avec trois colonnes : </w:t>
      </w:r>
      <w:r>
        <w:rPr>
          <w:b/>
          <w:bCs/>
        </w:rPr>
        <w:t>CC (/30)</w:t>
      </w:r>
      <w:r>
        <w:rPr/>
        <w:t xml:space="preserve">, </w:t>
      </w:r>
      <w:r>
        <w:rPr>
          <w:b/>
          <w:bCs/>
        </w:rPr>
        <w:t>Examen (/70)</w:t>
      </w:r>
      <w:r>
        <w:rPr/>
        <w:t xml:space="preserve"> et </w:t>
      </w:r>
      <w:r>
        <w:rPr>
          <w:b/>
          <w:bCs/>
        </w:rPr>
        <w:t>Rattrapage (/70)</w:t>
      </w:r>
      <w:r>
        <w:rPr/>
        <w:t xml:space="preserve"> (les maxima suivent le réglage de l’établissement).</w:t>
      </w:r>
    </w:p>
    <w:p>
      <w:pPr>
        <w:pStyle w:val="Compact"/>
        <w:numPr>
          <w:ilvl w:val="0"/>
          <w:numId w:val="401"/>
        </w:numPr>
        <w:rPr/>
      </w:pPr>
      <w:r>
        <w:rPr/>
        <w:t>Tapez les notes. Les décimales au quart de point sont acceptées (</w:t>
      </w:r>
      <w:r>
        <w:rPr>
          <w:rStyle w:val="VerbatimChar"/>
        </w:rPr>
        <w:t>12.25</w:t>
      </w:r>
      <w:r>
        <w:rPr/>
        <w:t xml:space="preserve">, </w:t>
      </w:r>
      <w:r>
        <w:rPr>
          <w:rStyle w:val="VerbatimChar"/>
        </w:rPr>
        <w:t>12.5</w:t>
      </w:r>
      <w:r>
        <w:rPr/>
        <w:t xml:space="preserve">, </w:t>
      </w:r>
      <w:r>
        <w:rPr>
          <w:rStyle w:val="VerbatimChar"/>
        </w:rPr>
        <w:t>12.75</w:t>
      </w:r>
      <w:r>
        <w:rPr/>
        <w:t>). Laissez vide une note non encore connue.</w:t>
      </w:r>
    </w:p>
    <w:p>
      <w:pPr>
        <w:pStyle w:val="Compact"/>
        <w:numPr>
          <w:ilvl w:val="0"/>
          <w:numId w:val="402"/>
        </w:numPr>
        <w:rPr/>
      </w:pPr>
      <w:r>
        <w:rPr/>
        <w:t xml:space="preserve">Cliquez sur </w:t>
      </w:r>
      <w:r>
        <w:rPr>
          <w:b/>
          <w:bCs/>
        </w:rPr>
        <w:t>Enregistrer les notes</w:t>
      </w:r>
      <w:r>
        <w:rPr/>
        <w:t>.</w:t>
      </w:r>
    </w:p>
    <w:p>
      <w:pPr>
        <w:pStyle w:val="EncadreAttention"/>
        <w:rPr/>
      </w:pPr>
      <w:r>
        <w:rPr>
          <w:b/>
          <w:bCs/>
        </w:rPr>
        <w:t>Vos notes ne sont pas encore visibles par les étudiants</w:t>
      </w:r>
    </w:p>
    <w:p>
      <w:pPr>
        <w:pStyle w:val="EncadreAttention"/>
        <w:rPr/>
      </w:pPr>
      <w:r>
        <w:rPr/>
        <w:t xml:space="preserve">Elles doivent d’abord être </w:t>
      </w:r>
      <w:r>
        <w:rPr>
          <w:b/>
          <w:bCs/>
        </w:rPr>
        <w:t>validées par l’administration</w:t>
      </w:r>
      <w:r>
        <w:rPr/>
        <w:t>. Toute modification d’une note déjà validée la masque de nouveau aux étudiants jusqu’à la prochaine validation. Prévenez l’administration lorsque vos saisies sont terminées.</w:t>
      </w:r>
    </w:p>
    <w:p>
      <w:pPr>
        <w:pStyle w:val="Normal"/>
        <w:spacing w:before="0" w:after="60"/>
        <w:rPr>
          <w:sz w:val="8"/>
        </w:rPr>
      </w:pPr>
      <w:r>
        <w:rPr>
          <w:sz w:val="8"/>
        </w:rPr>
      </w:r>
    </w:p>
    <w:p>
      <w:pPr>
        <w:pStyle w:val="BodyText"/>
        <w:rPr/>
      </w:pPr>
      <w:r>
        <w:rPr/>
        <w:t xml:space="preserve">La </w:t>
      </w:r>
      <w:r>
        <w:rPr>
          <w:b/>
          <w:bCs/>
        </w:rPr>
        <w:t>note de rattrapage remplace la note d’examen</w:t>
      </w:r>
      <w:r>
        <w:rPr/>
        <w:t xml:space="preserve"> dans le calcul. Note finale (sur 100) = CC + Examen (ou CC + Rattrapage).</w:t>
      </w:r>
      <w:bookmarkEnd w:id="285"/>
    </w:p>
    <w:p>
      <w:pPr>
        <w:pStyle w:val="Heading3"/>
        <w:rPr/>
      </w:pPr>
      <w:bookmarkStart w:id="286" w:name="emploi-du-temps"/>
      <w:r>
        <w:rPr/>
        <w:t>Emploi du temps</w:t>
      </w:r>
    </w:p>
    <w:p>
      <w:pPr>
        <w:pStyle w:val="Normal"/>
        <w:jc w:val="center"/>
        <w:rPr/>
      </w:pPr>
      <w:r>
        <w:rPr/>
        <w:drawing>
          <wp:inline distT="0" distB="0" distL="0" distR="0">
            <wp:extent cx="5334000" cy="3333750"/>
            <wp:effectExtent l="0" t="0" r="0" b="0"/>
            <wp:docPr id="94" name="Image94" descr="Mon Emploi du Te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94" descr="Mon Emploi du Temps"/>
                    <pic:cNvPicPr>
                      <a:picLocks noChangeAspect="1" noChangeArrowheads="1"/>
                    </pic:cNvPicPr>
                  </pic:nvPicPr>
                  <pic:blipFill>
                    <a:blip r:embed="rId95"/>
                    <a:stretch>
                      <a:fillRect/>
                    </a:stretch>
                  </pic:blipFill>
                  <pic:spPr bwMode="auto">
                    <a:xfrm>
                      <a:off x="0" y="0"/>
                      <a:ext cx="5334000" cy="3333750"/>
                    </a:xfrm>
                    <a:prstGeom prst="rect">
                      <a:avLst/>
                    </a:prstGeom>
                  </pic:spPr>
                </pic:pic>
              </a:graphicData>
            </a:graphic>
          </wp:inline>
        </w:drawing>
      </w:r>
    </w:p>
    <w:p>
      <w:pPr>
        <w:pStyle w:val="ImageCaption"/>
        <w:rPr/>
      </w:pPr>
      <w:r>
        <w:rPr/>
        <w:t>Mon Emploi du Temps</w:t>
      </w:r>
    </w:p>
    <w:p>
      <w:pPr>
        <w:pStyle w:val="BodyText"/>
        <w:rPr/>
      </w:pPr>
      <w:bookmarkStart w:id="287" w:name="emploi-du-temps"/>
      <w:r>
        <w:rPr/>
        <w:t>« Mon Emploi du Temps » : votre « Planning Hebdomadaire par Jour ». La rubrique « Emplois du temps officiels des classes (PDF / Images) » permet de consulter et télécharger les plannings officiels transmis pour vos classes.</w:t>
      </w:r>
      <w:bookmarkEnd w:id="287"/>
    </w:p>
    <w:p>
      <w:pPr>
        <w:pStyle w:val="Heading3"/>
        <w:rPr/>
      </w:pPr>
      <w:bookmarkStart w:id="288" w:name="mes-cours-documents-de-cours"/>
      <w:r>
        <w:rPr/>
        <w:t>Mes Cours (documents de cours)</w:t>
      </w:r>
    </w:p>
    <w:p>
      <w:pPr>
        <w:pStyle w:val="Normal"/>
        <w:jc w:val="center"/>
        <w:rPr/>
      </w:pPr>
      <w:r>
        <w:rPr/>
        <w:drawing>
          <wp:inline distT="0" distB="0" distL="0" distR="0">
            <wp:extent cx="5334000" cy="3333750"/>
            <wp:effectExtent l="0" t="0" r="0" b="0"/>
            <wp:docPr id="95" name="Image95" descr="Mes Cours &amp;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95" descr="Mes Cours &amp; Documents"/>
                    <pic:cNvPicPr>
                      <a:picLocks noChangeAspect="1" noChangeArrowheads="1"/>
                    </pic:cNvPicPr>
                  </pic:nvPicPr>
                  <pic:blipFill>
                    <a:blip r:embed="rId96"/>
                    <a:stretch>
                      <a:fillRect/>
                    </a:stretch>
                  </pic:blipFill>
                  <pic:spPr bwMode="auto">
                    <a:xfrm>
                      <a:off x="0" y="0"/>
                      <a:ext cx="5334000" cy="3333750"/>
                    </a:xfrm>
                    <a:prstGeom prst="rect">
                      <a:avLst/>
                    </a:prstGeom>
                  </pic:spPr>
                </pic:pic>
              </a:graphicData>
            </a:graphic>
          </wp:inline>
        </w:drawing>
      </w:r>
    </w:p>
    <w:p>
      <w:pPr>
        <w:pStyle w:val="ImageCaption"/>
        <w:rPr/>
      </w:pPr>
      <w:r>
        <w:rPr/>
        <w:t>Mes Cours &amp; Documents</w:t>
      </w:r>
    </w:p>
    <w:p>
      <w:pPr>
        <w:pStyle w:val="Normal"/>
        <w:jc w:val="center"/>
        <w:rPr/>
      </w:pPr>
      <w:r>
        <w:rPr/>
        <w:drawing>
          <wp:inline distT="0" distB="0" distL="0" distR="0">
            <wp:extent cx="5334000" cy="3333750"/>
            <wp:effectExtent l="0" t="0" r="0" b="0"/>
            <wp:docPr id="96" name="Image96" descr="La fenêtre « Importer un document de co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96" descr="La fenêtre « Importer un document de cours »"/>
                    <pic:cNvPicPr>
                      <a:picLocks noChangeAspect="1" noChangeArrowheads="1"/>
                    </pic:cNvPicPr>
                  </pic:nvPicPr>
                  <pic:blipFill>
                    <a:blip r:embed="rId97"/>
                    <a:stretch>
                      <a:fillRect/>
                    </a:stretch>
                  </pic:blipFill>
                  <pic:spPr bwMode="auto">
                    <a:xfrm>
                      <a:off x="0" y="0"/>
                      <a:ext cx="5334000" cy="3333750"/>
                    </a:xfrm>
                    <a:prstGeom prst="rect">
                      <a:avLst/>
                    </a:prstGeom>
                  </pic:spPr>
                </pic:pic>
              </a:graphicData>
            </a:graphic>
          </wp:inline>
        </w:drawing>
      </w:r>
    </w:p>
    <w:p>
      <w:pPr>
        <w:pStyle w:val="ImageCaption"/>
        <w:rPr/>
      </w:pPr>
      <w:r>
        <w:rPr/>
        <w:t>La fenêtre « Importer un document de cours »</w:t>
      </w:r>
    </w:p>
    <w:p>
      <w:pPr>
        <w:pStyle w:val="BodyText"/>
        <w:rPr/>
      </w:pPr>
      <w:r>
        <w:rPr/>
        <w:t>Partagez vos supports (cours, TD, exercices) avec vos étudiants.</w:t>
      </w:r>
    </w:p>
    <w:p>
      <w:pPr>
        <w:pStyle w:val="Compact"/>
        <w:numPr>
          <w:ilvl w:val="0"/>
          <w:numId w:val="403"/>
        </w:numPr>
        <w:rPr/>
      </w:pPr>
      <w:r>
        <w:rPr>
          <w:b/>
          <w:bCs/>
        </w:rPr>
        <w:t>Importer un document</w:t>
      </w:r>
      <w:r>
        <w:rPr/>
        <w:t>.</w:t>
      </w:r>
    </w:p>
    <w:p>
      <w:pPr>
        <w:pStyle w:val="Compact"/>
        <w:numPr>
          <w:ilvl w:val="0"/>
          <w:numId w:val="404"/>
        </w:numPr>
        <w:rPr/>
      </w:pPr>
      <w:r>
        <w:rPr/>
        <w:t>Remplissez « Titre du document », « Description (optionnel) », choisissez le « Module » et le fichier (PDF, image…).</w:t>
      </w:r>
    </w:p>
    <w:p>
      <w:pPr>
        <w:pStyle w:val="Compact"/>
        <w:numPr>
          <w:ilvl w:val="0"/>
          <w:numId w:val="405"/>
        </w:numPr>
        <w:rPr/>
      </w:pPr>
      <w:r>
        <w:rPr/>
        <w:t xml:space="preserve">Cochez </w:t>
      </w:r>
      <w:r>
        <w:rPr>
          <w:b/>
          <w:bCs/>
        </w:rPr>
        <w:t>Rendre visible aux étudiants</w:t>
      </w:r>
      <w:r>
        <w:rPr/>
        <w:t xml:space="preserve"> pour qu’ils le voient immédiatement (sinon, il reste privé).</w:t>
      </w:r>
    </w:p>
    <w:p>
      <w:pPr>
        <w:pStyle w:val="Compact"/>
        <w:numPr>
          <w:ilvl w:val="0"/>
          <w:numId w:val="406"/>
        </w:numPr>
        <w:rPr/>
      </w:pPr>
      <w:r>
        <w:rPr>
          <w:b/>
          <w:bCs/>
        </w:rPr>
        <w:t>Importer</w:t>
      </w:r>
      <w:r>
        <w:rPr/>
        <w:t>.</w:t>
      </w:r>
    </w:p>
    <w:p>
      <w:pPr>
        <w:pStyle w:val="FirstParagraph"/>
        <w:rPr/>
      </w:pPr>
      <w:r>
        <w:rPr/>
        <w:t xml:space="preserve">Chaque document peut être </w:t>
      </w:r>
      <w:r>
        <w:rPr>
          <w:b/>
          <w:bCs/>
        </w:rPr>
        <w:t>Téléchargé</w:t>
      </w:r>
      <w:r>
        <w:rPr/>
        <w:t xml:space="preserve"> ou </w:t>
      </w:r>
      <w:r>
        <w:rPr>
          <w:b/>
          <w:bCs/>
        </w:rPr>
        <w:t>Supprimé</w:t>
      </w:r>
      <w:r>
        <w:rPr/>
        <w:t>. Les étudiants le retrouvent dans « Documents de cours ».</w:t>
      </w:r>
      <w:bookmarkEnd w:id="288"/>
    </w:p>
    <w:p>
      <w:pPr>
        <w:pStyle w:val="Heading3"/>
        <w:rPr/>
      </w:pPr>
      <w:bookmarkStart w:id="289" w:name="épreuves"/>
      <w:r>
        <w:rPr/>
        <w:t>Épreuves</w:t>
      </w:r>
    </w:p>
    <w:p>
      <w:pPr>
        <w:pStyle w:val="Normal"/>
        <w:jc w:val="center"/>
        <w:rPr/>
      </w:pPr>
      <w:r>
        <w:rPr/>
        <w:drawing>
          <wp:inline distT="0" distB="0" distL="0" distR="0">
            <wp:extent cx="5334000" cy="3333750"/>
            <wp:effectExtent l="0" t="0" r="0" b="0"/>
            <wp:docPr id="97" name="Image97" descr="Mes Épreu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97" descr="Mes Épreuves"/>
                    <pic:cNvPicPr>
                      <a:picLocks noChangeAspect="1" noChangeArrowheads="1"/>
                    </pic:cNvPicPr>
                  </pic:nvPicPr>
                  <pic:blipFill>
                    <a:blip r:embed="rId98"/>
                    <a:stretch>
                      <a:fillRect/>
                    </a:stretch>
                  </pic:blipFill>
                  <pic:spPr bwMode="auto">
                    <a:xfrm>
                      <a:off x="0" y="0"/>
                      <a:ext cx="5334000" cy="3333750"/>
                    </a:xfrm>
                    <a:prstGeom prst="rect">
                      <a:avLst/>
                    </a:prstGeom>
                  </pic:spPr>
                </pic:pic>
              </a:graphicData>
            </a:graphic>
          </wp:inline>
        </w:drawing>
      </w:r>
    </w:p>
    <w:p>
      <w:pPr>
        <w:pStyle w:val="ImageCaption"/>
        <w:rPr/>
      </w:pPr>
      <w:r>
        <w:rPr/>
        <w:t>Mes Épreuves</w:t>
      </w:r>
    </w:p>
    <w:p>
      <w:pPr>
        <w:pStyle w:val="Normal"/>
        <w:jc w:val="center"/>
        <w:rPr/>
      </w:pPr>
      <w:r>
        <w:rPr/>
        <w:drawing>
          <wp:inline distT="0" distB="0" distL="0" distR="0">
            <wp:extent cx="5334000" cy="3333750"/>
            <wp:effectExtent l="0" t="0" r="0" b="0"/>
            <wp:docPr id="98" name="Image98" descr="La fenêtre « Importer une épreu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98" descr="La fenêtre « Importer une épreuve »"/>
                    <pic:cNvPicPr>
                      <a:picLocks noChangeAspect="1" noChangeArrowheads="1"/>
                    </pic:cNvPicPr>
                  </pic:nvPicPr>
                  <pic:blipFill>
                    <a:blip r:embed="rId99"/>
                    <a:stretch>
                      <a:fillRect/>
                    </a:stretch>
                  </pic:blipFill>
                  <pic:spPr bwMode="auto">
                    <a:xfrm>
                      <a:off x="0" y="0"/>
                      <a:ext cx="5334000" cy="3333750"/>
                    </a:xfrm>
                    <a:prstGeom prst="rect">
                      <a:avLst/>
                    </a:prstGeom>
                  </pic:spPr>
                </pic:pic>
              </a:graphicData>
            </a:graphic>
          </wp:inline>
        </w:drawing>
      </w:r>
    </w:p>
    <w:p>
      <w:pPr>
        <w:pStyle w:val="ImageCaption"/>
        <w:rPr/>
      </w:pPr>
      <w:r>
        <w:rPr/>
        <w:t>La fenêtre « Importer une épreuve »</w:t>
      </w:r>
    </w:p>
    <w:p>
      <w:pPr>
        <w:pStyle w:val="BodyText"/>
        <w:rPr/>
      </w:pPr>
      <w:r>
        <w:rPr/>
        <w:t>Déposez vos sujets d’examen et corrigés dans la banque d’épreuves.</w:t>
      </w:r>
    </w:p>
    <w:p>
      <w:pPr>
        <w:pStyle w:val="Compact"/>
        <w:numPr>
          <w:ilvl w:val="0"/>
          <w:numId w:val="407"/>
        </w:numPr>
        <w:rPr/>
      </w:pPr>
      <w:r>
        <w:rPr>
          <w:b/>
          <w:bCs/>
        </w:rPr>
        <w:t>Importer une épreuve</w:t>
      </w:r>
      <w:r>
        <w:rPr/>
        <w:t>.</w:t>
      </w:r>
    </w:p>
    <w:p>
      <w:pPr>
        <w:pStyle w:val="Compact"/>
        <w:numPr>
          <w:ilvl w:val="0"/>
          <w:numId w:val="408"/>
        </w:numPr>
        <w:rPr/>
      </w:pPr>
      <w:r>
        <w:rPr/>
        <w:t>Remplissez « Nom de l’épreuve », « Module », « Type », « Filière », « Niveau », « Semestre », puis joignez le sujet et le corrigé.</w:t>
      </w:r>
    </w:p>
    <w:p>
      <w:pPr>
        <w:pStyle w:val="Compact"/>
        <w:numPr>
          <w:ilvl w:val="0"/>
          <w:numId w:val="409"/>
        </w:numPr>
        <w:rPr/>
      </w:pPr>
      <w:r>
        <w:rPr/>
        <w:t xml:space="preserve">Cochez éventuellement </w:t>
      </w:r>
      <w:r>
        <w:rPr>
          <w:b/>
          <w:bCs/>
        </w:rPr>
        <w:t>Partager immédiatement aux étudiants</w:t>
      </w:r>
      <w:r>
        <w:rPr/>
        <w:t>. Sinon : « Cette épreuve restera privée. Seule l’administration peut la publier pour les étudiants. »</w:t>
      </w:r>
    </w:p>
    <w:p>
      <w:pPr>
        <w:pStyle w:val="Compact"/>
        <w:numPr>
          <w:ilvl w:val="0"/>
          <w:numId w:val="410"/>
        </w:numPr>
        <w:rPr/>
      </w:pPr>
      <w:r>
        <w:rPr>
          <w:b/>
          <w:bCs/>
        </w:rPr>
        <w:t>Importer</w:t>
      </w:r>
      <w:r>
        <w:rPr/>
        <w:t>.</w:t>
      </w:r>
    </w:p>
    <w:p>
      <w:pPr>
        <w:pStyle w:val="FirstParagraph"/>
        <w:rPr/>
      </w:pPr>
      <w:bookmarkStart w:id="290" w:name="épreuves"/>
      <w:r>
        <w:rPr/>
        <w:t>La colonne « Validation administrative » indique si l’épreuve est publiée.</w:t>
      </w:r>
      <w:bookmarkEnd w:id="290"/>
    </w:p>
    <w:p>
      <w:pPr>
        <w:pStyle w:val="Heading3"/>
        <w:rPr/>
      </w:pPr>
      <w:bookmarkStart w:id="291" w:name="mes-heures"/>
      <w:bookmarkEnd w:id="291"/>
      <w:r>
        <w:rPr/>
        <w:t>Mes heures</w:t>
      </w:r>
    </w:p>
    <w:p>
      <w:pPr>
        <w:pStyle w:val="Normal"/>
        <w:jc w:val="center"/>
        <w:rPr/>
      </w:pPr>
      <w:r>
        <w:rPr/>
        <w:drawing>
          <wp:inline distT="0" distB="0" distL="0" distR="0">
            <wp:extent cx="5334000" cy="3333750"/>
            <wp:effectExtent l="0" t="0" r="0" b="0"/>
            <wp:docPr id="99" name="Image99" descr="Mes heures : mois en c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99" descr="Mes heures : mois en cours"/>
                    <pic:cNvPicPr>
                      <a:picLocks noChangeAspect="1" noChangeArrowheads="1"/>
                    </pic:cNvPicPr>
                  </pic:nvPicPr>
                  <pic:blipFill>
                    <a:blip r:embed="rId100"/>
                    <a:stretch>
                      <a:fillRect/>
                    </a:stretch>
                  </pic:blipFill>
                  <pic:spPr bwMode="auto">
                    <a:xfrm>
                      <a:off x="0" y="0"/>
                      <a:ext cx="5334000" cy="3333750"/>
                    </a:xfrm>
                    <a:prstGeom prst="rect">
                      <a:avLst/>
                    </a:prstGeom>
                  </pic:spPr>
                </pic:pic>
              </a:graphicData>
            </a:graphic>
          </wp:inline>
        </w:drawing>
      </w:r>
    </w:p>
    <w:p>
      <w:pPr>
        <w:pStyle w:val="ImageCaption"/>
        <w:rPr/>
      </w:pPr>
      <w:r>
        <w:rPr/>
        <w:t>Mes heures : mois en cours</w:t>
      </w:r>
    </w:p>
    <w:p>
      <w:pPr>
        <w:pStyle w:val="Normal"/>
        <w:jc w:val="center"/>
        <w:rPr/>
      </w:pPr>
      <w:r>
        <w:rPr/>
        <w:drawing>
          <wp:inline distT="0" distB="0" distL="0" distR="0">
            <wp:extent cx="5334000" cy="3333750"/>
            <wp:effectExtent l="0" t="0" r="0" b="0"/>
            <wp:docPr id="100" name="Image100" descr="Mes heures : mois clôturé, avec le détail des point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00" descr="Mes heures : mois clôturé, avec le détail des pointages"/>
                    <pic:cNvPicPr>
                      <a:picLocks noChangeAspect="1" noChangeArrowheads="1"/>
                    </pic:cNvPicPr>
                  </pic:nvPicPr>
                  <pic:blipFill>
                    <a:blip r:embed="rId101"/>
                    <a:stretch>
                      <a:fillRect/>
                    </a:stretch>
                  </pic:blipFill>
                  <pic:spPr bwMode="auto">
                    <a:xfrm>
                      <a:off x="0" y="0"/>
                      <a:ext cx="5334000" cy="3333750"/>
                    </a:xfrm>
                    <a:prstGeom prst="rect">
                      <a:avLst/>
                    </a:prstGeom>
                  </pic:spPr>
                </pic:pic>
              </a:graphicData>
            </a:graphic>
          </wp:inline>
        </w:drawing>
      </w:r>
    </w:p>
    <w:p>
      <w:pPr>
        <w:pStyle w:val="ImageCaption"/>
        <w:rPr/>
      </w:pPr>
      <w:r>
        <w:rPr/>
        <w:t>Mes heures : mois clôturé, avec le détail des pointages</w:t>
      </w:r>
    </w:p>
    <w:p>
      <w:pPr>
        <w:pStyle w:val="BodyText"/>
        <w:rPr/>
      </w:pPr>
      <w:r>
        <w:rPr/>
        <w:t>Le suivi de vos heures pointées par le coordonnateur de chaque filière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672"/>
        <w:gridCol w:w="6965"/>
      </w:tblGrid>
      <w:tr>
        <w:trPr>
          <w:tblHeader w:val="true"/>
          <w:cantSplit w:val="true"/>
        </w:trPr>
        <w:tc>
          <w:tcPr>
            <w:tcW w:w="267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Indicateur</w:t>
            </w:r>
          </w:p>
        </w:tc>
        <w:tc>
          <w:tcPr>
            <w:tcW w:w="696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Signification</w:t>
            </w:r>
          </w:p>
        </w:tc>
      </w:tr>
      <w:tr>
        <w:trPr>
          <w:cantSplit w:val="true"/>
        </w:trPr>
        <w:tc>
          <w:tcPr>
            <w:tcW w:w="267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Heures effectuées</w:t>
            </w:r>
          </w:p>
        </w:tc>
        <w:tc>
          <w:tcPr>
            <w:tcW w:w="69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Total des heures retenues du mois (arrondies au quart d’heure).</w:t>
            </w:r>
          </w:p>
        </w:tc>
      </w:tr>
      <w:tr>
        <w:trPr>
          <w:cantSplit w:val="true"/>
        </w:trPr>
        <w:tc>
          <w:tcPr>
            <w:tcW w:w="267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Séances assurées</w:t>
            </w:r>
          </w:p>
        </w:tc>
        <w:tc>
          <w:tcPr>
            <w:tcW w:w="69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Nombre de séances où vous étiez présent.</w:t>
            </w:r>
          </w:p>
        </w:tc>
      </w:tr>
      <w:tr>
        <w:trPr>
          <w:cantSplit w:val="true"/>
        </w:trPr>
        <w:tc>
          <w:tcPr>
            <w:tcW w:w="267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Absences</w:t>
            </w:r>
          </w:p>
        </w:tc>
        <w:tc>
          <w:tcPr>
            <w:tcW w:w="69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Séances prévues non assurées.</w:t>
            </w:r>
          </w:p>
        </w:tc>
      </w:tr>
      <w:tr>
        <w:trPr>
          <w:cantSplit w:val="true"/>
        </w:trPr>
        <w:tc>
          <w:tcPr>
            <w:tcW w:w="267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Montant estimé</w:t>
            </w:r>
          </w:p>
        </w:tc>
        <w:tc>
          <w:tcPr>
            <w:tcW w:w="69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Heures × votre taux horaire (vacataires). Devient définitif après validation par la finance.</w:t>
            </w:r>
          </w:p>
        </w:tc>
      </w:tr>
      <w:tr>
        <w:trPr>
          <w:cantSplit w:val="true"/>
        </w:trPr>
        <w:tc>
          <w:tcPr>
            <w:tcW w:w="267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Statut</w:t>
            </w:r>
          </w:p>
        </w:tc>
        <w:tc>
          <w:tcPr>
            <w:tcW w:w="696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Ouvert → Clôturé (par le coordonnateur) → Validé (par la finance) → Payé ; ou Rejeté (correction en cours).</w:t>
            </w:r>
          </w:p>
        </w:tc>
      </w:tr>
    </w:tbl>
    <w:p>
      <w:pPr>
        <w:pStyle w:val="Compact"/>
        <w:numPr>
          <w:ilvl w:val="0"/>
          <w:numId w:val="411"/>
        </w:numPr>
        <w:rPr/>
      </w:pPr>
      <w:r>
        <w:rPr>
          <w:b/>
          <w:bCs/>
        </w:rPr>
        <w:t>Récapitulatif par filière</w:t>
      </w:r>
      <w:r>
        <w:rPr/>
        <w:t xml:space="preserve"> : le détail par filière.</w:t>
      </w:r>
    </w:p>
    <w:p>
      <w:pPr>
        <w:pStyle w:val="Compact"/>
        <w:numPr>
          <w:ilvl w:val="0"/>
          <w:numId w:val="412"/>
        </w:numPr>
        <w:rPr/>
      </w:pPr>
      <w:r>
        <w:rPr>
          <w:b/>
          <w:bCs/>
        </w:rPr>
        <w:t>Détail des pointages</w:t>
      </w:r>
      <w:r>
        <w:rPr/>
        <w:t xml:space="preserve"> : chaque séance (Date, Cours, Prévu, Arrivée, Fin, Heures) ; les mentions « Hors planning » (séance ajoutée) et « Absent » apparaissent.</w:t>
      </w:r>
    </w:p>
    <w:p>
      <w:pPr>
        <w:pStyle w:val="Compact"/>
        <w:numPr>
          <w:ilvl w:val="0"/>
          <w:numId w:val="413"/>
        </w:numPr>
        <w:rPr/>
      </w:pPr>
      <w:r>
        <w:rPr>
          <w:b/>
          <w:bCs/>
        </w:rPr>
        <w:t>Historique</w:t>
      </w:r>
      <w:r>
        <w:rPr/>
        <w:t xml:space="preserve"> : les mois précédents (Mois, Filière, Heures, Montant, Statut).</w:t>
      </w:r>
    </w:p>
    <w:p>
      <w:pPr>
        <w:pStyle w:val="EncadreConseil"/>
        <w:rPr/>
      </w:pPr>
      <w:r>
        <w:rPr>
          <w:b/>
          <w:bCs/>
        </w:rPr>
        <w:t>Une erreur dans vos heures ?</w:t>
      </w:r>
    </w:p>
    <w:p>
      <w:pPr>
        <w:pStyle w:val="EncadreConseil"/>
        <w:rPr/>
      </w:pPr>
      <w:r>
        <w:rPr/>
        <w:t xml:space="preserve">Signalez-la à votre </w:t>
      </w:r>
      <w:r>
        <w:rPr>
          <w:b/>
          <w:bCs/>
        </w:rPr>
        <w:t>coordonnateur</w:t>
      </w:r>
      <w:r>
        <w:rPr/>
        <w:t xml:space="preserve"> avant la fin du mois : il peut corriger tant que le récapitulatif n’est pas validé par la finance.</w:t>
      </w:r>
    </w:p>
    <w:p>
      <w:pPr>
        <w:pStyle w:val="Normal"/>
        <w:spacing w:before="0" w:after="60"/>
        <w:rPr>
          <w:sz w:val="8"/>
        </w:rPr>
      </w:pPr>
      <w:r>
        <w:rPr>
          <w:sz w:val="8"/>
        </w:rPr>
      </w:r>
      <w:bookmarkStart w:id="292" w:name="mes-heures"/>
      <w:bookmarkStart w:id="293" w:name="mes-heures"/>
      <w:bookmarkEnd w:id="293"/>
    </w:p>
    <w:p>
      <w:pPr>
        <w:pStyle w:val="Heading3"/>
        <w:rPr/>
      </w:pPr>
      <w:bookmarkStart w:id="294" w:name="mon-suivi"/>
      <w:r>
        <w:rPr/>
        <w:t>Mon Suivi</w:t>
      </w:r>
    </w:p>
    <w:p>
      <w:pPr>
        <w:pStyle w:val="Normal"/>
        <w:jc w:val="center"/>
        <w:rPr/>
      </w:pPr>
      <w:r>
        <w:rPr/>
        <w:drawing>
          <wp:inline distT="0" distB="0" distL="0" distR="0">
            <wp:extent cx="5334000" cy="3333750"/>
            <wp:effectExtent l="0" t="0" r="0" b="0"/>
            <wp:docPr id="101" name="Image101" descr="Mon Sui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01" descr="Mon Suivi"/>
                    <pic:cNvPicPr>
                      <a:picLocks noChangeAspect="1" noChangeArrowheads="1"/>
                    </pic:cNvPicPr>
                  </pic:nvPicPr>
                  <pic:blipFill>
                    <a:blip r:embed="rId102"/>
                    <a:stretch>
                      <a:fillRect/>
                    </a:stretch>
                  </pic:blipFill>
                  <pic:spPr bwMode="auto">
                    <a:xfrm>
                      <a:off x="0" y="0"/>
                      <a:ext cx="5334000" cy="3333750"/>
                    </a:xfrm>
                    <a:prstGeom prst="rect">
                      <a:avLst/>
                    </a:prstGeom>
                  </pic:spPr>
                </pic:pic>
              </a:graphicData>
            </a:graphic>
          </wp:inline>
        </w:drawing>
      </w:r>
    </w:p>
    <w:p>
      <w:pPr>
        <w:pStyle w:val="ImageCaption"/>
        <w:rPr/>
      </w:pPr>
      <w:r>
        <w:rPr/>
        <w:t>Mon Suivi</w:t>
      </w:r>
    </w:p>
    <w:p>
      <w:pPr>
        <w:pStyle w:val="BodyText"/>
        <w:rPr/>
      </w:pPr>
      <w:bookmarkStart w:id="295" w:name="mon-suivi"/>
      <w:r>
        <w:rPr/>
        <w:t>Statistiques de votre activité : effectifs par classe, répartition de vos séances par jour.</w:t>
      </w:r>
      <w:bookmarkEnd w:id="295"/>
    </w:p>
    <w:p>
      <w:pPr>
        <w:pStyle w:val="Heading3"/>
        <w:rPr/>
      </w:pPr>
      <w:bookmarkStart w:id="296" w:name="coordination"/>
      <w:r>
        <w:rPr/>
        <w:t>Coordination</w:t>
      </w:r>
    </w:p>
    <w:p>
      <w:pPr>
        <w:pStyle w:val="FirstParagraph"/>
        <w:rPr/>
      </w:pPr>
      <w:bookmarkStart w:id="297" w:name="portail-formateur"/>
      <w:bookmarkStart w:id="298" w:name="coordination"/>
      <w:r>
        <w:rPr/>
        <w:t>Réservé aux coordonnateurs de filière : voir Coordonnateur de filière.</w:t>
      </w:r>
      <w:bookmarkEnd w:id="297"/>
      <w:bookmarkEnd w:id="298"/>
    </w:p>
    <w:p>
      <w:pPr>
        <w:pStyle w:val="Heading2"/>
        <w:rPr/>
      </w:pPr>
      <w:bookmarkStart w:id="299" w:name="__RefHeading___Toc15188_1458957718"/>
      <w:bookmarkStart w:id="300" w:name="coordonnateur-de-filière"/>
      <w:bookmarkEnd w:id="299"/>
      <w:bookmarkEnd w:id="300"/>
      <w:r>
        <w:rPr/>
        <w:t>Coordonnateur de filière</w:t>
      </w:r>
    </w:p>
    <w:p>
      <w:pPr>
        <w:pStyle w:val="FirstParagraph"/>
        <w:rPr/>
      </w:pPr>
      <w:r>
        <w:rPr/>
        <w:t xml:space="preserve">Cette page s’adresse aux </w:t>
      </w:r>
      <w:r>
        <w:rPr>
          <w:b/>
          <w:bCs/>
        </w:rPr>
        <w:t>formateurs désignés coordonnateurs</w:t>
      </w:r>
      <w:r>
        <w:rPr/>
        <w:t xml:space="preserve"> d’une ou plusieurs filières (désignation faite par l’administration dans </w:t>
      </w:r>
      <w:r>
        <w:rPr>
          <w:b/>
          <w:bCs/>
        </w:rPr>
        <w:t>Pédagogie</w:t>
      </w:r>
      <w:r>
        <w:rPr/>
        <w:t xml:space="preserve"> → </w:t>
      </w:r>
      <w:r>
        <w:rPr>
          <w:b/>
          <w:bCs/>
        </w:rPr>
        <w:t>Coordonnateurs</w:t>
      </w:r>
      <w:r>
        <w:rPr/>
        <w:t>).</w:t>
      </w:r>
    </w:p>
    <w:p>
      <w:pPr>
        <w:pStyle w:val="BodyText"/>
        <w:rPr/>
      </w:pPr>
      <w:r>
        <w:rPr/>
        <w:t>Votre mission dans SmartCampus :</w:t>
      </w:r>
    </w:p>
    <w:p>
      <w:pPr>
        <w:pStyle w:val="Compact"/>
        <w:numPr>
          <w:ilvl w:val="0"/>
          <w:numId w:val="414"/>
        </w:numPr>
        <w:rPr/>
      </w:pPr>
      <w:r>
        <w:rPr>
          <w:b/>
          <w:bCs/>
        </w:rPr>
        <w:t>chaque jour</w:t>
      </w:r>
      <w:r>
        <w:rPr/>
        <w:t>, pointer l’arrivée et la fin des cours des enseignants de votre filière ;</w:t>
      </w:r>
    </w:p>
    <w:p>
      <w:pPr>
        <w:pStyle w:val="Compact"/>
        <w:numPr>
          <w:ilvl w:val="0"/>
          <w:numId w:val="415"/>
        </w:numPr>
        <w:rPr/>
      </w:pPr>
      <w:r>
        <w:rPr>
          <w:b/>
          <w:bCs/>
        </w:rPr>
        <w:t>à la fin du mois</w:t>
      </w:r>
      <w:r>
        <w:rPr/>
        <w:t xml:space="preserve">, vérifier et </w:t>
      </w:r>
      <w:r>
        <w:rPr>
          <w:b/>
          <w:bCs/>
        </w:rPr>
        <w:t>clôturer</w:t>
      </w:r>
      <w:r>
        <w:rPr/>
        <w:t xml:space="preserve"> le récapitulatif de chaque enseignant pour l’envoyer à la finance.</w:t>
      </w:r>
    </w:p>
    <w:p>
      <w:pPr>
        <w:pStyle w:val="Heading3"/>
        <w:rPr/>
      </w:pPr>
      <w:bookmarkStart w:id="301" w:name="ouvrir-lespace-coordination"/>
      <w:r>
        <w:rPr/>
        <w:t>Ouvrir l’espace Coordination</w:t>
      </w:r>
    </w:p>
    <w:p>
      <w:pPr>
        <w:pStyle w:val="FirstParagraph"/>
        <w:rPr/>
      </w:pPr>
      <w:r>
        <w:rPr/>
        <w:t xml:space="preserve">Connectez-vous à votre portail formateur, puis cliquez sur </w:t>
      </w:r>
      <w:r>
        <w:rPr>
          <w:b/>
          <w:bCs/>
        </w:rPr>
        <w:t>Coordination</w:t>
      </w:r>
      <w:r>
        <w:rPr/>
        <w:t xml:space="preserve"> dans le menu. Si le message « Vous n’êtes coordonnateur d’aucune filière. Contactez l’administration. » s’affiche, votre désignation n’a pas encore été faite (ou rechargez la page après la désignation).</w:t>
      </w:r>
    </w:p>
    <w:p>
      <w:pPr>
        <w:pStyle w:val="BodyText"/>
        <w:rPr/>
      </w:pPr>
      <w:r>
        <w:rPr/>
        <w:t xml:space="preserve">La page « Coordination de filière » comporte trois onglets : </w:t>
      </w:r>
      <w:r>
        <w:rPr>
          <w:i/>
          <w:iCs/>
        </w:rPr>
        <w:t>Pointage du jour</w:t>
      </w:r>
      <w:r>
        <w:rPr/>
        <w:t xml:space="preserve">, </w:t>
      </w:r>
      <w:r>
        <w:rPr>
          <w:i/>
          <w:iCs/>
        </w:rPr>
        <w:t>Enseignants</w:t>
      </w:r>
      <w:r>
        <w:rPr/>
        <w:t xml:space="preserve"> et </w:t>
      </w:r>
      <w:r>
        <w:rPr>
          <w:i/>
          <w:iCs/>
        </w:rPr>
        <w:t>Récapitulatif mensuel</w:t>
      </w:r>
      <w:r>
        <w:rPr/>
        <w:t>. La liste « Filière » en haut permet de choisir une filière, ou « Toutes mes filières ».</w:t>
      </w:r>
      <w:bookmarkEnd w:id="301"/>
    </w:p>
    <w:p>
      <w:pPr>
        <w:pStyle w:val="Heading3"/>
        <w:rPr/>
      </w:pPr>
      <w:bookmarkStart w:id="302" w:name="onglet-pointage-du-jour"/>
      <w:r>
        <w:rPr/>
        <w:t xml:space="preserve">Onglet </w:t>
      </w:r>
      <w:r>
        <w:rPr>
          <w:i/>
          <w:iCs/>
        </w:rPr>
        <w:t>Pointage du jour</w:t>
      </w:r>
    </w:p>
    <w:p>
      <w:pPr>
        <w:pStyle w:val="Normal"/>
        <w:jc w:val="center"/>
        <w:rPr/>
      </w:pPr>
      <w:r>
        <w:rPr/>
        <w:drawing>
          <wp:inline distT="0" distB="0" distL="0" distR="0">
            <wp:extent cx="5334000" cy="3333750"/>
            <wp:effectExtent l="0" t="0" r="0" b="0"/>
            <wp:docPr id="102" name="Image102" descr="Le pointage du j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02" descr="Le pointage du jour"/>
                    <pic:cNvPicPr>
                      <a:picLocks noChangeAspect="1" noChangeArrowheads="1"/>
                    </pic:cNvPicPr>
                  </pic:nvPicPr>
                  <pic:blipFill>
                    <a:blip r:embed="rId103"/>
                    <a:stretch>
                      <a:fillRect/>
                    </a:stretch>
                  </pic:blipFill>
                  <pic:spPr bwMode="auto">
                    <a:xfrm>
                      <a:off x="0" y="0"/>
                      <a:ext cx="5334000" cy="3333750"/>
                    </a:xfrm>
                    <a:prstGeom prst="rect">
                      <a:avLst/>
                    </a:prstGeom>
                  </pic:spPr>
                </pic:pic>
              </a:graphicData>
            </a:graphic>
          </wp:inline>
        </w:drawing>
      </w:r>
    </w:p>
    <w:p>
      <w:pPr>
        <w:pStyle w:val="ImageCaption"/>
        <w:rPr/>
      </w:pPr>
      <w:r>
        <w:rPr/>
        <w:t>Le pointage du jour</w:t>
      </w:r>
    </w:p>
    <w:p>
      <w:pPr>
        <w:pStyle w:val="BodyText"/>
        <w:rPr/>
      </w:pPr>
      <w:r>
        <w:rPr/>
        <w:t xml:space="preserve">Le tableau liste les </w:t>
      </w:r>
      <w:r>
        <w:rPr>
          <w:b/>
          <w:bCs/>
        </w:rPr>
        <w:t>cours prévus à l’emploi du temps</w:t>
      </w:r>
      <w:r>
        <w:rPr/>
        <w:t xml:space="preserve"> à la date choisie, pour vos filières : enseignant, type (permanent / vacataire), cours (module · classe), horaire prévu.</w:t>
      </w:r>
    </w:p>
    <w:p>
      <w:pPr>
        <w:pStyle w:val="Heading4"/>
        <w:rPr/>
      </w:pPr>
      <w:bookmarkStart w:id="303" w:name="pointer-une-séance"/>
      <w:r>
        <w:rPr/>
        <w:t>Pointer une séance</w:t>
      </w:r>
    </w:p>
    <w:p>
      <w:pPr>
        <w:pStyle w:val="Normal"/>
        <w:jc w:val="center"/>
        <w:rPr/>
      </w:pPr>
      <w:r>
        <w:rPr/>
        <w:drawing>
          <wp:inline distT="0" distB="0" distL="0" distR="0">
            <wp:extent cx="5334000" cy="3333750"/>
            <wp:effectExtent l="0" t="0" r="0" b="0"/>
            <wp:docPr id="103" name="Image103" descr="Pointer une séance : (1) Présent, (2) Absent, (3) Arrivé maintenant, (4) heure d’arriv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103" descr="Pointer une séance : (1) Présent, (2) Absent, (3) Arrivé maintenant, (4) heure d’arrivée"/>
                    <pic:cNvPicPr>
                      <a:picLocks noChangeAspect="1" noChangeArrowheads="1"/>
                    </pic:cNvPicPr>
                  </pic:nvPicPr>
                  <pic:blipFill>
                    <a:blip r:embed="rId104"/>
                    <a:stretch>
                      <a:fillRect/>
                    </a:stretch>
                  </pic:blipFill>
                  <pic:spPr bwMode="auto">
                    <a:xfrm>
                      <a:off x="0" y="0"/>
                      <a:ext cx="5334000" cy="3333750"/>
                    </a:xfrm>
                    <a:prstGeom prst="rect">
                      <a:avLst/>
                    </a:prstGeom>
                  </pic:spPr>
                </pic:pic>
              </a:graphicData>
            </a:graphic>
          </wp:inline>
        </w:drawing>
      </w:r>
    </w:p>
    <w:p>
      <w:pPr>
        <w:pStyle w:val="ImageCaption"/>
        <w:rPr/>
      </w:pPr>
      <w:r>
        <w:rPr/>
        <w:t>Pointer une séance : (1) Présent, (2) Absent, (3) Arrivé maintenant, (4) heure d’arrivée</w:t>
      </w:r>
    </w:p>
    <w:p>
      <w:pPr>
        <w:pStyle w:val="Compact"/>
        <w:numPr>
          <w:ilvl w:val="0"/>
          <w:numId w:val="416"/>
        </w:numPr>
        <w:rPr/>
      </w:pPr>
      <w:r>
        <w:rPr/>
        <w:t xml:space="preserve">Vérifiez la « Date » (bouton </w:t>
      </w:r>
      <w:r>
        <w:rPr>
          <w:b/>
          <w:bCs/>
        </w:rPr>
        <w:t>Aujourd’hui</w:t>
      </w:r>
      <w:r>
        <w:rPr/>
        <w:t xml:space="preserve"> pour revenir à la date du jour ; vous pouvez choisir une date passée pour rattraper un oubli).</w:t>
      </w:r>
    </w:p>
    <w:p>
      <w:pPr>
        <w:pStyle w:val="Compact"/>
        <w:numPr>
          <w:ilvl w:val="0"/>
          <w:numId w:val="417"/>
        </w:numPr>
        <w:rPr/>
      </w:pPr>
      <w:r>
        <w:rPr/>
        <w:t xml:space="preserve">Quand l’enseignant arrive, cliquez sur l’icône </w:t>
      </w:r>
      <w:r>
        <w:rPr>
          <w:b/>
          <w:bCs/>
        </w:rPr>
        <w:t>Arrivé maintenant</w:t>
      </w:r>
      <w:r>
        <w:rPr/>
        <w:t xml:space="preserve"> : l’heure actuelle est inscrite dans « Arrivée ». Vous pouvez aussi taper l’heure vous-même (ex. </w:t>
      </w:r>
      <w:r>
        <w:rPr>
          <w:rStyle w:val="VerbatimChar"/>
        </w:rPr>
        <w:t>08:10</w:t>
      </w:r>
      <w:r>
        <w:rPr/>
        <w:t>).</w:t>
      </w:r>
    </w:p>
    <w:p>
      <w:pPr>
        <w:pStyle w:val="Compact"/>
        <w:numPr>
          <w:ilvl w:val="0"/>
          <w:numId w:val="418"/>
        </w:numPr>
        <w:rPr/>
      </w:pPr>
      <w:r>
        <w:rPr/>
        <w:t xml:space="preserve">À la fin du cours, cliquez sur </w:t>
      </w:r>
      <w:r>
        <w:rPr>
          <w:b/>
          <w:bCs/>
        </w:rPr>
        <w:t>Terminé maintenant</w:t>
      </w:r>
      <w:r>
        <w:rPr/>
        <w:t xml:space="preserve"> (ou tapez l’heure de fin).</w:t>
      </w:r>
    </w:p>
    <w:p>
      <w:pPr>
        <w:pStyle w:val="Compact"/>
        <w:numPr>
          <w:ilvl w:val="0"/>
          <w:numId w:val="419"/>
        </w:numPr>
        <w:rPr/>
      </w:pPr>
      <w:r>
        <w:rPr/>
        <w:t xml:space="preserve">Cliquez sur </w:t>
      </w:r>
      <w:r>
        <w:rPr>
          <w:b/>
          <w:bCs/>
        </w:rPr>
        <w:t>Enregistrer</w:t>
      </w:r>
      <w:r>
        <w:rPr/>
        <w:t xml:space="preserve"> (icône disquette) sur la ligne.</w:t>
      </w:r>
    </w:p>
    <w:p>
      <w:pPr>
        <w:pStyle w:val="FirstParagraph"/>
        <w:rPr/>
      </w:pPr>
      <w:r>
        <w:rPr/>
        <w:t xml:space="preserve">La colonne « Présence » passe de </w:t>
      </w:r>
      <w:r>
        <w:rPr>
          <w:i/>
          <w:iCs/>
        </w:rPr>
        <w:t>Non pointé</w:t>
      </w:r>
      <w:r>
        <w:rPr/>
        <w:t xml:space="preserve"> à </w:t>
      </w:r>
      <w:r>
        <w:rPr>
          <w:i/>
          <w:iCs/>
        </w:rPr>
        <w:t>Présent</w:t>
      </w:r>
      <w:r>
        <w:rPr/>
        <w:t>.</w:t>
      </w:r>
      <w:bookmarkEnd w:id="303"/>
    </w:p>
    <w:p>
      <w:pPr>
        <w:pStyle w:val="Heading4"/>
        <w:rPr/>
      </w:pPr>
      <w:bookmarkStart w:id="304" w:name="enseignant-absent"/>
      <w:r>
        <w:rPr/>
        <w:t>Enseignant absent</w:t>
      </w:r>
    </w:p>
    <w:p>
      <w:pPr>
        <w:pStyle w:val="FirstParagraph"/>
        <w:rPr/>
      </w:pPr>
      <w:r>
        <w:rPr/>
        <w:t xml:space="preserve">Choisissez </w:t>
      </w:r>
      <w:r>
        <w:rPr>
          <w:i/>
          <w:iCs/>
        </w:rPr>
        <w:t>Absent</w:t>
      </w:r>
      <w:r>
        <w:rPr/>
        <w:t xml:space="preserve"> dans la colonne « Présence » puis </w:t>
      </w:r>
      <w:r>
        <w:rPr>
          <w:b/>
          <w:bCs/>
        </w:rPr>
        <w:t>Enregistrer</w:t>
      </w:r>
      <w:r>
        <w:rPr/>
        <w:t>. Ajoutez au besoin un « Commentaire » (ex. « prévenu, cours reporté »). Une séance absente compte 0 heure.</w:t>
      </w:r>
      <w:bookmarkEnd w:id="304"/>
    </w:p>
    <w:p>
      <w:pPr>
        <w:pStyle w:val="Heading4"/>
        <w:rPr/>
      </w:pPr>
      <w:bookmarkStart w:id="305" w:name="Xa3ecc61df19b756ee6d8ce1b94e080d8a4f480b"/>
      <w:r>
        <w:rPr/>
        <w:t>Séance non prévue (rattrapage, séance supplémentaire)</w:t>
      </w:r>
    </w:p>
    <w:p>
      <w:pPr>
        <w:pStyle w:val="Normal"/>
        <w:jc w:val="center"/>
        <w:rPr/>
      </w:pPr>
      <w:r>
        <w:rPr/>
        <w:drawing>
          <wp:inline distT="0" distB="0" distL="0" distR="0">
            <wp:extent cx="5334000" cy="3333750"/>
            <wp:effectExtent l="0" t="0" r="0" b="0"/>
            <wp:docPr id="104" name="Image104" descr="La fenêtre « Séance non planifié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04" descr="La fenêtre « Séance non planifiée »"/>
                    <pic:cNvPicPr>
                      <a:picLocks noChangeAspect="1" noChangeArrowheads="1"/>
                    </pic:cNvPicPr>
                  </pic:nvPicPr>
                  <pic:blipFill>
                    <a:blip r:embed="rId105"/>
                    <a:stretch>
                      <a:fillRect/>
                    </a:stretch>
                  </pic:blipFill>
                  <pic:spPr bwMode="auto">
                    <a:xfrm>
                      <a:off x="0" y="0"/>
                      <a:ext cx="5334000" cy="3333750"/>
                    </a:xfrm>
                    <a:prstGeom prst="rect">
                      <a:avLst/>
                    </a:prstGeom>
                  </pic:spPr>
                </pic:pic>
              </a:graphicData>
            </a:graphic>
          </wp:inline>
        </w:drawing>
      </w:r>
    </w:p>
    <w:p>
      <w:pPr>
        <w:pStyle w:val="ImageCaption"/>
        <w:rPr/>
      </w:pPr>
      <w:r>
        <w:rPr/>
        <w:t>La fenêtre « Séance non planifiée »</w:t>
      </w:r>
    </w:p>
    <w:p>
      <w:pPr>
        <w:pStyle w:val="Compact"/>
        <w:numPr>
          <w:ilvl w:val="0"/>
          <w:numId w:val="420"/>
        </w:numPr>
        <w:rPr/>
      </w:pPr>
      <w:r>
        <w:rPr/>
        <w:t xml:space="preserve">Cliquez sur </w:t>
      </w:r>
      <w:r>
        <w:rPr>
          <w:b/>
          <w:bCs/>
        </w:rPr>
        <w:t>Séance non planifiée</w:t>
      </w:r>
      <w:r>
        <w:rPr/>
        <w:t>.</w:t>
      </w:r>
    </w:p>
    <w:p>
      <w:pPr>
        <w:pStyle w:val="Compact"/>
        <w:numPr>
          <w:ilvl w:val="0"/>
          <w:numId w:val="421"/>
        </w:numPr>
        <w:rPr/>
      </w:pPr>
      <w:r>
        <w:rPr/>
        <w:t>Remplissez « Enseignant », « Cours (module · classe) », « Date », « Début prévu », « Fin prévue », « Arrivée * », « Fin » et éventuellement « Commentaire ».</w:t>
      </w:r>
    </w:p>
    <w:p>
      <w:pPr>
        <w:pStyle w:val="Compact"/>
        <w:numPr>
          <w:ilvl w:val="0"/>
          <w:numId w:val="422"/>
        </w:numPr>
        <w:rPr/>
      </w:pPr>
      <w:bookmarkStart w:id="306" w:name="Xa3ecc61df19b756ee6d8ce1b94e080d8a4f480b"/>
      <w:r>
        <w:rPr/>
        <w:t>Enregistrez. La séance est marquée « Hors planning » ; la finance la voit comme telle.</w:t>
      </w:r>
      <w:bookmarkEnd w:id="306"/>
    </w:p>
    <w:p>
      <w:pPr>
        <w:pStyle w:val="Heading4"/>
        <w:rPr/>
      </w:pPr>
      <w:bookmarkStart w:id="307" w:name="corriger-ou-supprimer-un-pointage"/>
      <w:r>
        <w:rPr/>
        <w:t>Corriger ou supprimer un pointage</w:t>
      </w:r>
    </w:p>
    <w:p>
      <w:pPr>
        <w:pStyle w:val="FirstParagraph"/>
        <w:rPr/>
      </w:pPr>
      <w:r>
        <w:rPr/>
        <w:t xml:space="preserve">Modifiez les heures sur la ligne puis </w:t>
      </w:r>
      <w:r>
        <w:rPr>
          <w:b/>
          <w:bCs/>
        </w:rPr>
        <w:t>Enregistrer</w:t>
      </w:r>
      <w:r>
        <w:rPr/>
        <w:t xml:space="preserve">, ou cliquez sur </w:t>
      </w:r>
      <w:r>
        <w:rPr>
          <w:b/>
          <w:bCs/>
        </w:rPr>
        <w:t>Supprimer le pointage</w:t>
      </w:r>
      <w:r>
        <w:rPr/>
        <w:t xml:space="preserve">. Si l’icône indique « Récap du mois clôturé : rouvrez-le pour modifier », allez d’abord dans l’onglet </w:t>
      </w:r>
      <w:r>
        <w:rPr>
          <w:i/>
          <w:iCs/>
        </w:rPr>
        <w:t>Récapitulatif mensuel</w:t>
      </w:r>
      <w:r>
        <w:rPr/>
        <w:t xml:space="preserve"> et cliquez sur </w:t>
      </w:r>
      <w:r>
        <w:rPr>
          <w:b/>
          <w:bCs/>
        </w:rPr>
        <w:t>Rouvrir</w:t>
      </w:r>
      <w:r>
        <w:rPr/>
        <w:t xml:space="preserve"> (possible tant que la finance n’a pas validé).</w:t>
      </w:r>
      <w:bookmarkEnd w:id="302"/>
      <w:bookmarkEnd w:id="307"/>
    </w:p>
    <w:p>
      <w:pPr>
        <w:pStyle w:val="Heading3"/>
        <w:rPr/>
      </w:pPr>
      <w:bookmarkStart w:id="308" w:name="onglet-enseignants"/>
      <w:r>
        <w:rPr/>
        <w:t xml:space="preserve">Onglet </w:t>
      </w:r>
      <w:r>
        <w:rPr>
          <w:i/>
          <w:iCs/>
        </w:rPr>
        <w:t>Enseignants</w:t>
      </w:r>
    </w:p>
    <w:p>
      <w:pPr>
        <w:pStyle w:val="Normal"/>
        <w:jc w:val="center"/>
        <w:rPr/>
      </w:pPr>
      <w:r>
        <w:rPr/>
        <w:drawing>
          <wp:inline distT="0" distB="0" distL="0" distR="0">
            <wp:extent cx="5334000" cy="3333750"/>
            <wp:effectExtent l="0" t="0" r="0" b="0"/>
            <wp:docPr id="105" name="Image105" descr="L’onglet Enseign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105" descr="L’onglet Enseignants"/>
                    <pic:cNvPicPr>
                      <a:picLocks noChangeAspect="1" noChangeArrowheads="1"/>
                    </pic:cNvPicPr>
                  </pic:nvPicPr>
                  <pic:blipFill>
                    <a:blip r:embed="rId106"/>
                    <a:stretch>
                      <a:fillRect/>
                    </a:stretch>
                  </pic:blipFill>
                  <pic:spPr bwMode="auto">
                    <a:xfrm>
                      <a:off x="0" y="0"/>
                      <a:ext cx="5334000" cy="3333750"/>
                    </a:xfrm>
                    <a:prstGeom prst="rect">
                      <a:avLst/>
                    </a:prstGeom>
                  </pic:spPr>
                </pic:pic>
              </a:graphicData>
            </a:graphic>
          </wp:inline>
        </w:drawing>
      </w:r>
    </w:p>
    <w:p>
      <w:pPr>
        <w:pStyle w:val="ImageCaption"/>
        <w:rPr/>
      </w:pPr>
      <w:r>
        <w:rPr/>
        <w:t>L’onglet Enseignants</w:t>
      </w:r>
    </w:p>
    <w:p>
      <w:pPr>
        <w:pStyle w:val="BodyText"/>
        <w:rPr/>
      </w:pPr>
      <w:bookmarkStart w:id="309" w:name="onglet-enseignants"/>
      <w:r>
        <w:rPr/>
        <w:t>La liste des enseignants qui interviennent dans votre filière (affectés ou présents à l’emploi du temps de l’année) : contact, type, taux horaire, cours à assurer. Si elle est vide (« Aucun enseignant n’est affecté ou planifié dans cette filière pour l’année en cours. »), l’emploi du temps de la filière n’est pas encore saisi : prévenez l’administration.</w:t>
      </w:r>
      <w:bookmarkEnd w:id="309"/>
    </w:p>
    <w:p>
      <w:pPr>
        <w:pStyle w:val="Heading3"/>
        <w:rPr/>
      </w:pPr>
      <w:bookmarkStart w:id="310" w:name="onglet-récapitulatif-mensuel"/>
      <w:bookmarkEnd w:id="310"/>
      <w:r>
        <w:rPr/>
        <w:t xml:space="preserve">Onglet </w:t>
      </w:r>
      <w:r>
        <w:rPr>
          <w:i/>
          <w:iCs/>
        </w:rPr>
        <w:t>Récapitulatif mensuel</w:t>
      </w:r>
    </w:p>
    <w:p>
      <w:pPr>
        <w:pStyle w:val="Normal"/>
        <w:jc w:val="center"/>
        <w:rPr/>
      </w:pPr>
      <w:r>
        <w:rPr/>
        <w:drawing>
          <wp:inline distT="0" distB="0" distL="0" distR="0">
            <wp:extent cx="5334000" cy="3333750"/>
            <wp:effectExtent l="0" t="0" r="0" b="0"/>
            <wp:docPr id="106" name="Image106" descr="Récapitulatif du mois en cours (heures proviso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06" descr="Récapitulatif du mois en cours (heures provisoires)"/>
                    <pic:cNvPicPr>
                      <a:picLocks noChangeAspect="1" noChangeArrowheads="1"/>
                    </pic:cNvPicPr>
                  </pic:nvPicPr>
                  <pic:blipFill>
                    <a:blip r:embed="rId107"/>
                    <a:stretch>
                      <a:fillRect/>
                    </a:stretch>
                  </pic:blipFill>
                  <pic:spPr bwMode="auto">
                    <a:xfrm>
                      <a:off x="0" y="0"/>
                      <a:ext cx="5334000" cy="3333750"/>
                    </a:xfrm>
                    <a:prstGeom prst="rect">
                      <a:avLst/>
                    </a:prstGeom>
                  </pic:spPr>
                </pic:pic>
              </a:graphicData>
            </a:graphic>
          </wp:inline>
        </w:drawing>
      </w:r>
    </w:p>
    <w:p>
      <w:pPr>
        <w:pStyle w:val="ImageCaption"/>
        <w:rPr/>
      </w:pPr>
      <w:r>
        <w:rPr/>
        <w:t>Récapitulatif du mois en cours (heures provisoires)</w:t>
      </w:r>
    </w:p>
    <w:p>
      <w:pPr>
        <w:pStyle w:val="Normal"/>
        <w:jc w:val="center"/>
        <w:rPr/>
      </w:pPr>
      <w:r>
        <w:rPr/>
        <w:drawing>
          <wp:inline distT="0" distB="0" distL="0" distR="0">
            <wp:extent cx="5334000" cy="3333750"/>
            <wp:effectExtent l="0" t="0" r="0" b="0"/>
            <wp:docPr id="107" name="Image107" descr="Récapitulatif d’un mois terminé et clôtu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107" descr="Récapitulatif d’un mois terminé et clôturé"/>
                    <pic:cNvPicPr>
                      <a:picLocks noChangeAspect="1" noChangeArrowheads="1"/>
                    </pic:cNvPicPr>
                  </pic:nvPicPr>
                  <pic:blipFill>
                    <a:blip r:embed="rId108"/>
                    <a:stretch>
                      <a:fillRect/>
                    </a:stretch>
                  </pic:blipFill>
                  <pic:spPr bwMode="auto">
                    <a:xfrm>
                      <a:off x="0" y="0"/>
                      <a:ext cx="5334000" cy="3333750"/>
                    </a:xfrm>
                    <a:prstGeom prst="rect">
                      <a:avLst/>
                    </a:prstGeom>
                  </pic:spPr>
                </pic:pic>
              </a:graphicData>
            </a:graphic>
          </wp:inline>
        </w:drawing>
      </w:r>
    </w:p>
    <w:p>
      <w:pPr>
        <w:pStyle w:val="ImageCaption"/>
        <w:rPr/>
      </w:pPr>
      <w:r>
        <w:rPr/>
        <w:t>Récapitulatif d’un mois terminé et clôturé</w:t>
      </w:r>
    </w:p>
    <w:p>
      <w:pPr>
        <w:pStyle w:val="BodyText"/>
        <w:rPr/>
      </w:pPr>
      <w:r>
        <w:rPr/>
        <w:t>Pour le mois choisi, une ligne par enseignant : séances, absences, heures, montant (pour les vacataires) et statut.</w:t>
      </w:r>
    </w:p>
    <w:p>
      <w:pPr>
        <w:pStyle w:val="Compact"/>
        <w:numPr>
          <w:ilvl w:val="0"/>
          <w:numId w:val="423"/>
        </w:numPr>
        <w:rPr/>
      </w:pPr>
      <w:r>
        <w:rPr>
          <w:b/>
          <w:bCs/>
        </w:rPr>
        <w:t>Détail des pointages</w:t>
      </w:r>
      <w:r>
        <w:rPr/>
        <w:t xml:space="preserve"> : la liste complète des séances du mois pour vérification.</w:t>
      </w:r>
    </w:p>
    <w:p>
      <w:pPr>
        <w:pStyle w:val="Compact"/>
        <w:numPr>
          <w:ilvl w:val="0"/>
          <w:numId w:val="424"/>
        </w:numPr>
        <w:rPr/>
      </w:pPr>
      <w:r>
        <w:rPr>
          <w:b/>
          <w:bCs/>
        </w:rPr>
        <w:t>Clôturer</w:t>
      </w:r>
      <w:r>
        <w:rPr/>
        <w:t xml:space="preserve"> : envoie le récapitulatif à la finance et verrouille les pointages. Disponible à partir du </w:t>
      </w:r>
      <w:r>
        <w:rPr>
          <w:b/>
          <w:bCs/>
        </w:rPr>
        <w:t>dernier jour du mois</w:t>
      </w:r>
      <w:r>
        <w:rPr/>
        <w:t xml:space="preserve"> (avant, le message « Le mois n’est pas terminé : les heures sont provisoires… » s’affiche).</w:t>
      </w:r>
    </w:p>
    <w:p>
      <w:pPr>
        <w:pStyle w:val="Compact"/>
        <w:numPr>
          <w:ilvl w:val="0"/>
          <w:numId w:val="425"/>
        </w:numPr>
        <w:rPr/>
      </w:pPr>
      <w:r>
        <w:rPr>
          <w:b/>
          <w:bCs/>
        </w:rPr>
        <w:t>Tout clôturer (n)</w:t>
      </w:r>
      <w:r>
        <w:rPr/>
        <w:t xml:space="preserve"> : clôture en une fois tous les récapitulatifs ouverts du mois (même condition de date).</w:t>
      </w:r>
    </w:p>
    <w:p>
      <w:pPr>
        <w:pStyle w:val="Compact"/>
        <w:numPr>
          <w:ilvl w:val="0"/>
          <w:numId w:val="426"/>
        </w:numPr>
        <w:rPr/>
      </w:pPr>
      <w:r>
        <w:rPr>
          <w:b/>
          <w:bCs/>
        </w:rPr>
        <w:t>Rouvrir</w:t>
      </w:r>
      <w:r>
        <w:rPr/>
        <w:t xml:space="preserve"> : déverrouille un récap clôturé pour corriger (tant qu’il n’est pas validé).</w:t>
      </w:r>
    </w:p>
    <w:p>
      <w:pPr>
        <w:pStyle w:val="Compact"/>
        <w:numPr>
          <w:ilvl w:val="0"/>
          <w:numId w:val="427"/>
        </w:numPr>
        <w:rPr/>
      </w:pPr>
      <w:r>
        <w:rPr/>
        <w:t xml:space="preserve">Un récap </w:t>
      </w:r>
      <w:r>
        <w:rPr>
          <w:b/>
          <w:bCs/>
        </w:rPr>
        <w:t>Rejeté</w:t>
      </w:r>
      <w:r>
        <w:rPr/>
        <w:t xml:space="preserve"> par la finance affiche le motif du rejet : corrigez les pointages concernés, puis </w:t>
      </w:r>
      <w:r>
        <w:rPr>
          <w:b/>
          <w:bCs/>
        </w:rPr>
        <w:t>Clôturer</w:t>
      </w:r>
      <w:r>
        <w:rPr/>
        <w:t xml:space="preserve"> à nouveau.</w:t>
      </w:r>
    </w:p>
    <w:p>
      <w:pPr>
        <w:pStyle w:val="EncadreConseil"/>
        <w:rPr/>
      </w:pPr>
      <w:r>
        <w:rPr>
          <w:b/>
          <w:bCs/>
        </w:rPr>
        <w:t>Bonnes pratiques</w:t>
      </w:r>
    </w:p>
    <w:p>
      <w:pPr>
        <w:pStyle w:val="Compact"/>
        <w:numPr>
          <w:ilvl w:val="0"/>
          <w:numId w:val="428"/>
        </w:numPr>
        <w:rPr/>
      </w:pPr>
      <w:r>
        <w:rPr/>
        <w:t xml:space="preserve">Pointez </w:t>
      </w:r>
      <w:r>
        <w:rPr>
          <w:b/>
          <w:bCs/>
        </w:rPr>
        <w:t>le jour même</w:t>
      </w:r>
      <w:r>
        <w:rPr/>
        <w:t xml:space="preserve"> : c’est plus fiable que de reconstituer le mois de mémoire.</w:t>
      </w:r>
    </w:p>
    <w:p>
      <w:pPr>
        <w:pStyle w:val="Compact"/>
        <w:numPr>
          <w:ilvl w:val="0"/>
          <w:numId w:val="429"/>
        </w:numPr>
        <w:rPr/>
      </w:pPr>
      <w:r>
        <w:rPr/>
        <w:t xml:space="preserve">Clôturez </w:t>
      </w:r>
      <w:r>
        <w:rPr>
          <w:b/>
          <w:bCs/>
        </w:rPr>
        <w:t>dans les 2-3 premiers jours du mois suivant</w:t>
      </w:r>
      <w:r>
        <w:rPr/>
        <w:t xml:space="preserve"> pour que les vacataires soient payés à temps.</w:t>
      </w:r>
    </w:p>
    <w:p>
      <w:pPr>
        <w:pStyle w:val="Compact"/>
        <w:numPr>
          <w:ilvl w:val="0"/>
          <w:numId w:val="430"/>
        </w:numPr>
        <w:rPr/>
      </w:pPr>
      <w:r>
        <w:rPr/>
        <w:t>Les heures sont arrondies au quart d’heure : inutile de pointer à la minute près.</w:t>
      </w:r>
    </w:p>
    <w:p>
      <w:pPr>
        <w:pStyle w:val="Normal"/>
        <w:spacing w:before="0" w:after="60"/>
        <w:rPr>
          <w:sz w:val="8"/>
        </w:rPr>
      </w:pPr>
      <w:r>
        <w:rPr>
          <w:sz w:val="8"/>
        </w:rPr>
      </w:r>
      <w:bookmarkStart w:id="311" w:name="coordonnateur-de-filière"/>
      <w:bookmarkStart w:id="312" w:name="onglet-récapitulatif-mensuel"/>
      <w:bookmarkStart w:id="313" w:name="coordonnateur-de-filière"/>
      <w:bookmarkStart w:id="314" w:name="onglet-récapitulatif-mensuel"/>
      <w:bookmarkEnd w:id="313"/>
      <w:bookmarkEnd w:id="314"/>
    </w:p>
    <w:p>
      <w:pPr>
        <w:pStyle w:val="Heading2"/>
        <w:rPr/>
      </w:pPr>
      <w:bookmarkStart w:id="315" w:name="__RefHeading___Toc15190_1458957718"/>
      <w:bookmarkStart w:id="316" w:name="portail-étudiant"/>
      <w:bookmarkEnd w:id="315"/>
      <w:r>
        <w:rPr/>
        <w:t>Portail étudiant</w:t>
      </w:r>
    </w:p>
    <w:p>
      <w:pPr>
        <w:pStyle w:val="FirstParagraph"/>
        <w:rPr/>
      </w:pPr>
      <w:r>
        <w:rPr/>
        <w:t xml:space="preserve">Le portail étudiant permet de suivre sa scolarité </w:t>
      </w:r>
      <w:r>
        <w:rPr>
          <w:b/>
          <w:bCs/>
        </w:rPr>
        <w:t>depuis un ordinateur ou un téléphone</w:t>
      </w:r>
      <w:r>
        <w:rPr/>
        <w:t>. Les identifiants (nom d’utilisateur et mot de passe initial) sont remis par l’administration après l’inscription.</w:t>
      </w:r>
    </w:p>
    <w:p>
      <w:pPr>
        <w:pStyle w:val="BodyText"/>
        <w:rPr/>
      </w:pPr>
      <w:r>
        <w:rPr/>
        <w:t xml:space="preserve">Menu : </w:t>
      </w:r>
      <w:r>
        <w:rPr>
          <w:b/>
          <w:bCs/>
        </w:rPr>
        <w:t>Tableau de bord</w:t>
      </w:r>
      <w:r>
        <w:rPr/>
        <w:t xml:space="preserve">, </w:t>
      </w:r>
      <w:r>
        <w:rPr>
          <w:b/>
          <w:bCs/>
        </w:rPr>
        <w:t>Ma Scolarité</w:t>
      </w:r>
      <w:r>
        <w:rPr/>
        <w:t xml:space="preserve">, </w:t>
      </w:r>
      <w:r>
        <w:rPr>
          <w:b/>
          <w:bCs/>
        </w:rPr>
        <w:t>Mes Notes</w:t>
      </w:r>
      <w:r>
        <w:rPr/>
        <w:t xml:space="preserve">, </w:t>
      </w:r>
      <w:r>
        <w:rPr>
          <w:b/>
          <w:bCs/>
        </w:rPr>
        <w:t>Assiduité</w:t>
      </w:r>
      <w:r>
        <w:rPr/>
        <w:t xml:space="preserve">, </w:t>
      </w:r>
      <w:r>
        <w:rPr>
          <w:b/>
          <w:bCs/>
        </w:rPr>
        <w:t>Emploi du temps</w:t>
      </w:r>
      <w:r>
        <w:rPr/>
        <w:t xml:space="preserve">, </w:t>
      </w:r>
      <w:r>
        <w:rPr>
          <w:b/>
          <w:bCs/>
        </w:rPr>
        <w:t>Documents de cours</w:t>
      </w:r>
      <w:r>
        <w:rPr/>
        <w:t xml:space="preserve">, </w:t>
      </w:r>
      <w:r>
        <w:rPr>
          <w:b/>
          <w:bCs/>
        </w:rPr>
        <w:t>Banque d’épreuves</w:t>
      </w:r>
      <w:r>
        <w:rPr/>
        <w:t xml:space="preserve">, </w:t>
      </w:r>
      <w:r>
        <w:rPr>
          <w:b/>
          <w:bCs/>
        </w:rPr>
        <w:t>Discipline</w:t>
      </w:r>
      <w:r>
        <w:rPr/>
        <w:t>.</w:t>
      </w:r>
    </w:p>
    <w:p>
      <w:pPr>
        <w:pStyle w:val="Heading3"/>
        <w:rPr/>
      </w:pPr>
      <w:bookmarkStart w:id="317" w:name="tableau-de-bord-1"/>
      <w:r>
        <w:rPr/>
        <w:t>Tableau de bord</w:t>
      </w:r>
    </w:p>
    <w:p>
      <w:pPr>
        <w:pStyle w:val="Normal"/>
        <w:jc w:val="center"/>
        <w:rPr/>
      </w:pPr>
      <w:r>
        <w:rPr/>
        <w:drawing>
          <wp:inline distT="0" distB="0" distL="0" distR="0">
            <wp:extent cx="5334000" cy="3333750"/>
            <wp:effectExtent l="0" t="0" r="0" b="0"/>
            <wp:docPr id="108" name="Image108" descr="Le tableau de bord de l’étud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08" descr="Le tableau de bord de l’étudiant"/>
                    <pic:cNvPicPr>
                      <a:picLocks noChangeAspect="1" noChangeArrowheads="1"/>
                    </pic:cNvPicPr>
                  </pic:nvPicPr>
                  <pic:blipFill>
                    <a:blip r:embed="rId109"/>
                    <a:stretch>
                      <a:fillRect/>
                    </a:stretch>
                  </pic:blipFill>
                  <pic:spPr bwMode="auto">
                    <a:xfrm>
                      <a:off x="0" y="0"/>
                      <a:ext cx="5334000" cy="3333750"/>
                    </a:xfrm>
                    <a:prstGeom prst="rect">
                      <a:avLst/>
                    </a:prstGeom>
                  </pic:spPr>
                </pic:pic>
              </a:graphicData>
            </a:graphic>
          </wp:inline>
        </w:drawing>
      </w:r>
    </w:p>
    <w:p>
      <w:pPr>
        <w:pStyle w:val="ImageCaption"/>
        <w:rPr/>
      </w:pPr>
      <w:r>
        <w:rPr/>
        <w:t>Le tableau de bord de l’étudiant</w:t>
      </w:r>
    </w:p>
    <w:p>
      <w:pPr>
        <w:pStyle w:val="Normal"/>
        <w:jc w:val="center"/>
        <w:rPr/>
      </w:pPr>
      <w:r>
        <w:rPr/>
        <w:drawing>
          <wp:inline distT="0" distB="0" distL="0" distR="0">
            <wp:extent cx="5334000" cy="3333750"/>
            <wp:effectExtent l="0" t="0" r="0" b="0"/>
            <wp:docPr id="109" name="Image109" descr="La carte d’étudiant digitalis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109" descr="La carte d’étudiant digitalisée"/>
                    <pic:cNvPicPr>
                      <a:picLocks noChangeAspect="1" noChangeArrowheads="1"/>
                    </pic:cNvPicPr>
                  </pic:nvPicPr>
                  <pic:blipFill>
                    <a:blip r:embed="rId110"/>
                    <a:stretch>
                      <a:fillRect/>
                    </a:stretch>
                  </pic:blipFill>
                  <pic:spPr bwMode="auto">
                    <a:xfrm>
                      <a:off x="0" y="0"/>
                      <a:ext cx="5334000" cy="3333750"/>
                    </a:xfrm>
                    <a:prstGeom prst="rect">
                      <a:avLst/>
                    </a:prstGeom>
                  </pic:spPr>
                </pic:pic>
              </a:graphicData>
            </a:graphic>
          </wp:inline>
        </w:drawing>
      </w:r>
    </w:p>
    <w:p>
      <w:pPr>
        <w:pStyle w:val="ImageCaption"/>
        <w:rPr/>
      </w:pPr>
      <w:r>
        <w:rPr/>
        <w:t>La carte d’étudiant digitalisée</w:t>
      </w:r>
    </w:p>
    <w:p>
      <w:pPr>
        <w:pStyle w:val="Compact"/>
        <w:numPr>
          <w:ilvl w:val="0"/>
          <w:numId w:val="431"/>
        </w:numPr>
        <w:rPr/>
      </w:pPr>
      <w:r>
        <w:rPr/>
        <w:t xml:space="preserve">Message « Bienvenue, </w:t>
      </w:r>
      <w:r>
        <w:rPr>
          <w:i/>
          <w:iCs/>
        </w:rPr>
        <w:t>votre nom</w:t>
      </w:r>
      <w:r>
        <w:rPr/>
        <w:t xml:space="preserve"> » avec votre classe et votre matricule.</w:t>
      </w:r>
    </w:p>
    <w:p>
      <w:pPr>
        <w:pStyle w:val="Compact"/>
        <w:numPr>
          <w:ilvl w:val="0"/>
          <w:numId w:val="432"/>
        </w:numPr>
        <w:rPr/>
      </w:pPr>
      <w:r>
        <w:rPr>
          <w:b/>
          <w:bCs/>
        </w:rPr>
        <w:t>Voir ma carte d’étudiant</w:t>
      </w:r>
      <w:r>
        <w:rPr/>
        <w:t xml:space="preserve"> : affiche votre carte (recto / verso).</w:t>
      </w:r>
    </w:p>
    <w:p>
      <w:pPr>
        <w:pStyle w:val="Compact"/>
        <w:numPr>
          <w:ilvl w:val="0"/>
          <w:numId w:val="433"/>
        </w:numPr>
        <w:rPr/>
      </w:pPr>
      <w:r>
        <w:rPr>
          <w:b/>
          <w:bCs/>
        </w:rPr>
        <w:t>Actualités du campus</w:t>
      </w:r>
      <w:r>
        <w:rPr/>
        <w:t>.</w:t>
      </w:r>
    </w:p>
    <w:p>
      <w:pPr>
        <w:pStyle w:val="FirstParagraph"/>
        <w:rPr/>
      </w:pPr>
      <w:r>
        <w:rPr/>
        <w:t xml:space="preserve">Si le message « Impossible de charger votre profil. » s’affiche, cliquez sur </w:t>
      </w:r>
      <w:r>
        <w:rPr>
          <w:b/>
          <w:bCs/>
        </w:rPr>
        <w:t>Réessayer</w:t>
      </w:r>
      <w:r>
        <w:rPr/>
        <w:t xml:space="preserve"> ; si le problème persiste, contactez l’administration (votre inscription n’est peut-être pas finalisée pour l’année en cours).</w:t>
      </w:r>
      <w:bookmarkEnd w:id="317"/>
    </w:p>
    <w:p>
      <w:pPr>
        <w:pStyle w:val="Heading3"/>
        <w:rPr/>
      </w:pPr>
      <w:bookmarkStart w:id="318" w:name="ma-scolarité"/>
      <w:r>
        <w:rPr/>
        <w:t>Ma Scolarité</w:t>
      </w:r>
    </w:p>
    <w:p>
      <w:pPr>
        <w:pStyle w:val="Normal"/>
        <w:jc w:val="center"/>
        <w:rPr/>
      </w:pPr>
      <w:r>
        <w:rPr/>
        <w:drawing>
          <wp:inline distT="0" distB="0" distL="0" distR="0">
            <wp:extent cx="5334000" cy="3333750"/>
            <wp:effectExtent l="0" t="0" r="0" b="0"/>
            <wp:docPr id="110" name="Image110" descr="Ma Situation Financ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10" descr="Ma Situation Financière"/>
                    <pic:cNvPicPr>
                      <a:picLocks noChangeAspect="1" noChangeArrowheads="1"/>
                    </pic:cNvPicPr>
                  </pic:nvPicPr>
                  <pic:blipFill>
                    <a:blip r:embed="rId111"/>
                    <a:stretch>
                      <a:fillRect/>
                    </a:stretch>
                  </pic:blipFill>
                  <pic:spPr bwMode="auto">
                    <a:xfrm>
                      <a:off x="0" y="0"/>
                      <a:ext cx="5334000" cy="3333750"/>
                    </a:xfrm>
                    <a:prstGeom prst="rect">
                      <a:avLst/>
                    </a:prstGeom>
                  </pic:spPr>
                </pic:pic>
              </a:graphicData>
            </a:graphic>
          </wp:inline>
        </w:drawing>
      </w:r>
    </w:p>
    <w:p>
      <w:pPr>
        <w:pStyle w:val="ImageCaption"/>
        <w:rPr/>
      </w:pPr>
      <w:r>
        <w:rPr/>
        <w:t>Ma Situation Financière</w:t>
      </w:r>
    </w:p>
    <w:p>
      <w:pPr>
        <w:pStyle w:val="BodyText"/>
        <w:rPr/>
      </w:pPr>
      <w:r>
        <w:rPr/>
        <w:t>« Ma Situation Financière » :</w:t>
      </w:r>
    </w:p>
    <w:p>
      <w:pPr>
        <w:pStyle w:val="Compact"/>
        <w:numPr>
          <w:ilvl w:val="0"/>
          <w:numId w:val="434"/>
        </w:numPr>
        <w:rPr/>
      </w:pPr>
      <w:r>
        <w:rPr/>
        <w:t xml:space="preserve">le montant </w:t>
      </w:r>
      <w:r>
        <w:rPr>
          <w:b/>
          <w:bCs/>
        </w:rPr>
        <w:t>dû</w:t>
      </w:r>
      <w:r>
        <w:rPr/>
        <w:t xml:space="preserve">, </w:t>
      </w:r>
      <w:r>
        <w:rPr>
          <w:b/>
          <w:bCs/>
        </w:rPr>
        <w:t>payé</w:t>
      </w:r>
      <w:r>
        <w:rPr/>
        <w:t xml:space="preserve"> et </w:t>
      </w:r>
      <w:r>
        <w:rPr>
          <w:b/>
          <w:bCs/>
        </w:rPr>
        <w:t>restant</w:t>
      </w:r>
      <w:r>
        <w:rPr/>
        <w:t xml:space="preserve"> pour l’inscription et pour la formation (« Détails par catégorie ») ;</w:t>
      </w:r>
    </w:p>
    <w:p>
      <w:pPr>
        <w:pStyle w:val="Compact"/>
        <w:numPr>
          <w:ilvl w:val="0"/>
          <w:numId w:val="435"/>
        </w:numPr>
        <w:rPr/>
      </w:pPr>
      <w:r>
        <w:rPr/>
        <w:t>l’« Échéancier de paiement » : chaque tranche, sa date limite, son montant et son statut (</w:t>
      </w:r>
      <w:r>
        <w:rPr>
          <w:b/>
          <w:bCs/>
        </w:rPr>
        <w:t>Payé</w:t>
      </w:r>
      <w:r>
        <w:rPr/>
        <w:t xml:space="preserve">, </w:t>
      </w:r>
      <w:r>
        <w:rPr>
          <w:b/>
          <w:bCs/>
        </w:rPr>
        <w:t>Partiel</w:t>
      </w:r>
      <w:r>
        <w:rPr/>
        <w:t xml:space="preserve">, </w:t>
      </w:r>
      <w:r>
        <w:rPr>
          <w:b/>
          <w:bCs/>
        </w:rPr>
        <w:t>Retard</w:t>
      </w:r>
      <w:r>
        <w:rPr/>
        <w:t xml:space="preserve"> ou </w:t>
      </w:r>
      <w:r>
        <w:rPr>
          <w:b/>
          <w:bCs/>
        </w:rPr>
        <w:t>À venir</w:t>
      </w:r>
      <w:r>
        <w:rPr/>
        <w:t>).</w:t>
      </w:r>
    </w:p>
    <w:p>
      <w:pPr>
        <w:pStyle w:val="FirstParagraph"/>
        <w:rPr/>
      </w:pPr>
      <w:bookmarkStart w:id="319" w:name="ma-scolarité"/>
      <w:r>
        <w:rPr/>
        <w:t>Les réductions et bourses accordées sont déjà déduites. Pour toute question sur un paiement, munissez-vous de votre reçu et adressez-vous au service de scolarité.</w:t>
      </w:r>
      <w:bookmarkEnd w:id="319"/>
    </w:p>
    <w:p>
      <w:pPr>
        <w:pStyle w:val="Heading3"/>
        <w:rPr/>
      </w:pPr>
      <w:bookmarkStart w:id="320" w:name="mes-notes"/>
      <w:bookmarkEnd w:id="320"/>
      <w:r>
        <w:rPr/>
        <w:t>Mes Notes</w:t>
      </w:r>
    </w:p>
    <w:p>
      <w:pPr>
        <w:pStyle w:val="Normal"/>
        <w:jc w:val="center"/>
        <w:rPr/>
      </w:pPr>
      <w:r>
        <w:rPr/>
        <w:drawing>
          <wp:inline distT="0" distB="0" distL="0" distR="0">
            <wp:extent cx="5334000" cy="3333750"/>
            <wp:effectExtent l="0" t="0" r="0" b="0"/>
            <wp:docPr id="111" name="Image111" descr="Mes Résultats Académ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111" descr="Mes Résultats Académiques"/>
                    <pic:cNvPicPr>
                      <a:picLocks noChangeAspect="1" noChangeArrowheads="1"/>
                    </pic:cNvPicPr>
                  </pic:nvPicPr>
                  <pic:blipFill>
                    <a:blip r:embed="rId112"/>
                    <a:stretch>
                      <a:fillRect/>
                    </a:stretch>
                  </pic:blipFill>
                  <pic:spPr bwMode="auto">
                    <a:xfrm>
                      <a:off x="0" y="0"/>
                      <a:ext cx="5334000" cy="3333750"/>
                    </a:xfrm>
                    <a:prstGeom prst="rect">
                      <a:avLst/>
                    </a:prstGeom>
                  </pic:spPr>
                </pic:pic>
              </a:graphicData>
            </a:graphic>
          </wp:inline>
        </w:drawing>
      </w:r>
    </w:p>
    <w:p>
      <w:pPr>
        <w:pStyle w:val="ImageCaption"/>
        <w:rPr/>
      </w:pPr>
      <w:r>
        <w:rPr/>
        <w:t>Mes Résultats Académiques</w:t>
      </w:r>
    </w:p>
    <w:p>
      <w:pPr>
        <w:pStyle w:val="BodyText"/>
        <w:rPr/>
      </w:pPr>
      <w:r>
        <w:rPr/>
        <w:t xml:space="preserve">« Mes Résultats Académiques » : choisissez la « Session » (Semestre 1, Semestre 2). Pour chaque cours : Coef., </w:t>
      </w:r>
      <w:r>
        <w:rPr>
          <w:b/>
          <w:bCs/>
        </w:rPr>
        <w:t>CC</w:t>
      </w:r>
      <w:r>
        <w:rPr/>
        <w:t xml:space="preserve">, </w:t>
      </w:r>
      <w:r>
        <w:rPr>
          <w:b/>
          <w:bCs/>
        </w:rPr>
        <w:t>SN</w:t>
      </w:r>
      <w:r>
        <w:rPr/>
        <w:t xml:space="preserve"> (examen), note </w:t>
      </w:r>
      <w:r>
        <w:rPr>
          <w:b/>
          <w:bCs/>
        </w:rPr>
        <w:t>Finale</w:t>
      </w:r>
      <w:r>
        <w:rPr/>
        <w:t xml:space="preserve"> et Statut.</w:t>
      </w:r>
    </w:p>
    <w:p>
      <w:pPr>
        <w:pStyle w:val="EncadreInfo"/>
        <w:rPr/>
      </w:pPr>
      <w:r>
        <w:rPr>
          <w:b/>
          <w:bCs/>
        </w:rPr>
        <w:t>Pourquoi une note n’apparaît-elle pas ?</w:t>
      </w:r>
    </w:p>
    <w:p>
      <w:pPr>
        <w:pStyle w:val="EncadreInfo"/>
        <w:rPr/>
      </w:pPr>
      <w:r>
        <w:rPr/>
        <w:t xml:space="preserve">Une note n’est affichée qu’après </w:t>
      </w:r>
      <w:r>
        <w:rPr>
          <w:b/>
          <w:bCs/>
        </w:rPr>
        <w:t>validation par l’administration</w:t>
      </w:r>
      <w:r>
        <w:rPr/>
        <w:t>. Si un formateur vous a annoncé une note qui n’apparaît pas encore, elle est en cours de vérification.</w:t>
      </w:r>
    </w:p>
    <w:p>
      <w:pPr>
        <w:pStyle w:val="Normal"/>
        <w:spacing w:before="0" w:after="60"/>
        <w:rPr>
          <w:sz w:val="8"/>
        </w:rPr>
      </w:pPr>
      <w:r>
        <w:rPr>
          <w:sz w:val="8"/>
        </w:rPr>
      </w:r>
      <w:bookmarkStart w:id="321" w:name="mes-notes"/>
      <w:bookmarkStart w:id="322" w:name="mes-notes"/>
      <w:bookmarkEnd w:id="322"/>
    </w:p>
    <w:p>
      <w:pPr>
        <w:pStyle w:val="Heading3"/>
        <w:rPr/>
      </w:pPr>
      <w:bookmarkStart w:id="323" w:name="assiduité"/>
      <w:r>
        <w:rPr/>
        <w:t>Assiduité</w:t>
      </w:r>
    </w:p>
    <w:p>
      <w:pPr>
        <w:pStyle w:val="Normal"/>
        <w:jc w:val="center"/>
        <w:rPr/>
      </w:pPr>
      <w:r>
        <w:rPr/>
        <w:drawing>
          <wp:inline distT="0" distB="0" distL="0" distR="0">
            <wp:extent cx="5334000" cy="3333750"/>
            <wp:effectExtent l="0" t="0" r="0" b="0"/>
            <wp:docPr id="112" name="Image112" descr="Mon Assidu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12" descr="Mon Assiduité"/>
                    <pic:cNvPicPr>
                      <a:picLocks noChangeAspect="1" noChangeArrowheads="1"/>
                    </pic:cNvPicPr>
                  </pic:nvPicPr>
                  <pic:blipFill>
                    <a:blip r:embed="rId113"/>
                    <a:stretch>
                      <a:fillRect/>
                    </a:stretch>
                  </pic:blipFill>
                  <pic:spPr bwMode="auto">
                    <a:xfrm>
                      <a:off x="0" y="0"/>
                      <a:ext cx="5334000" cy="3333750"/>
                    </a:xfrm>
                    <a:prstGeom prst="rect">
                      <a:avLst/>
                    </a:prstGeom>
                  </pic:spPr>
                </pic:pic>
              </a:graphicData>
            </a:graphic>
          </wp:inline>
        </w:drawing>
      </w:r>
    </w:p>
    <w:p>
      <w:pPr>
        <w:pStyle w:val="ImageCaption"/>
        <w:rPr/>
      </w:pPr>
      <w:r>
        <w:rPr/>
        <w:t>Mon Assiduité</w:t>
      </w:r>
    </w:p>
    <w:p>
      <w:pPr>
        <w:pStyle w:val="BodyText"/>
        <w:rPr/>
      </w:pPr>
      <w:bookmarkStart w:id="324" w:name="assiduité"/>
      <w:r>
        <w:rPr/>
        <w:t>« Mon Assiduité » : vos absences et retards (Date, Module / Cours, Type, État, Justification). Apportez vos justificatifs à l’administration pour qu’une absence soit notée « justifiée ».</w:t>
      </w:r>
      <w:bookmarkEnd w:id="324"/>
    </w:p>
    <w:p>
      <w:pPr>
        <w:pStyle w:val="Heading3"/>
        <w:rPr/>
      </w:pPr>
      <w:bookmarkStart w:id="325" w:name="emploi-du-temps-1"/>
      <w:r>
        <w:rPr/>
        <w:t>Emploi du temps</w:t>
      </w:r>
    </w:p>
    <w:p>
      <w:pPr>
        <w:pStyle w:val="Normal"/>
        <w:jc w:val="center"/>
        <w:rPr/>
      </w:pPr>
      <w:r>
        <w:rPr/>
        <w:drawing>
          <wp:inline distT="0" distB="0" distL="0" distR="0">
            <wp:extent cx="5334000" cy="3333750"/>
            <wp:effectExtent l="0" t="0" r="0" b="0"/>
            <wp:docPr id="113" name="Image113" descr="Mon Emploi du Te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113" descr="Mon Emploi du Temps"/>
                    <pic:cNvPicPr>
                      <a:picLocks noChangeAspect="1" noChangeArrowheads="1"/>
                    </pic:cNvPicPr>
                  </pic:nvPicPr>
                  <pic:blipFill>
                    <a:blip r:embed="rId114"/>
                    <a:stretch>
                      <a:fillRect/>
                    </a:stretch>
                  </pic:blipFill>
                  <pic:spPr bwMode="auto">
                    <a:xfrm>
                      <a:off x="0" y="0"/>
                      <a:ext cx="5334000" cy="3333750"/>
                    </a:xfrm>
                    <a:prstGeom prst="rect">
                      <a:avLst/>
                    </a:prstGeom>
                  </pic:spPr>
                </pic:pic>
              </a:graphicData>
            </a:graphic>
          </wp:inline>
        </w:drawing>
      </w:r>
    </w:p>
    <w:p>
      <w:pPr>
        <w:pStyle w:val="ImageCaption"/>
        <w:rPr/>
      </w:pPr>
      <w:r>
        <w:rPr/>
        <w:t>Mon Emploi du Temps</w:t>
      </w:r>
    </w:p>
    <w:p>
      <w:pPr>
        <w:pStyle w:val="BodyText"/>
        <w:rPr/>
      </w:pPr>
      <w:bookmarkStart w:id="326" w:name="emploi-du-temps-1"/>
      <w:r>
        <w:rPr/>
        <w:t>« Mon Emploi du Temps » : la « Grille Hebdomadaire des Cours » de votre classe, et le document officiel (PDF / image) s’il a été publié, à visualiser ou télécharger.</w:t>
      </w:r>
      <w:bookmarkEnd w:id="326"/>
    </w:p>
    <w:p>
      <w:pPr>
        <w:pStyle w:val="Heading3"/>
        <w:rPr/>
      </w:pPr>
      <w:bookmarkStart w:id="327" w:name="documents-de-cours"/>
      <w:r>
        <w:rPr/>
        <w:t>Documents de cours</w:t>
      </w:r>
    </w:p>
    <w:p>
      <w:pPr>
        <w:pStyle w:val="Normal"/>
        <w:jc w:val="center"/>
        <w:rPr/>
      </w:pPr>
      <w:r>
        <w:rPr/>
        <w:drawing>
          <wp:inline distT="0" distB="0" distL="0" distR="0">
            <wp:extent cx="5334000" cy="3333750"/>
            <wp:effectExtent l="0" t="0" r="0" b="0"/>
            <wp:docPr id="114" name="Image114" descr="Les documents de c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14" descr="Les documents de cours"/>
                    <pic:cNvPicPr>
                      <a:picLocks noChangeAspect="1" noChangeArrowheads="1"/>
                    </pic:cNvPicPr>
                  </pic:nvPicPr>
                  <pic:blipFill>
                    <a:blip r:embed="rId115"/>
                    <a:stretch>
                      <a:fillRect/>
                    </a:stretch>
                  </pic:blipFill>
                  <pic:spPr bwMode="auto">
                    <a:xfrm>
                      <a:off x="0" y="0"/>
                      <a:ext cx="5334000" cy="3333750"/>
                    </a:xfrm>
                    <a:prstGeom prst="rect">
                      <a:avLst/>
                    </a:prstGeom>
                  </pic:spPr>
                </pic:pic>
              </a:graphicData>
            </a:graphic>
          </wp:inline>
        </w:drawing>
      </w:r>
    </w:p>
    <w:p>
      <w:pPr>
        <w:pStyle w:val="ImageCaption"/>
        <w:rPr/>
      </w:pPr>
      <w:r>
        <w:rPr/>
        <w:t>Les documents de cours</w:t>
      </w:r>
    </w:p>
    <w:p>
      <w:pPr>
        <w:pStyle w:val="BodyText"/>
        <w:rPr/>
      </w:pPr>
      <w:r>
        <w:rPr/>
        <w:t xml:space="preserve">Les supports partagés par vos formateurs : bouton </w:t>
      </w:r>
      <w:r>
        <w:rPr>
          <w:b/>
          <w:bCs/>
        </w:rPr>
        <w:t>Télécharger</w:t>
      </w:r>
      <w:r>
        <w:rPr/>
        <w:t>.</w:t>
      </w:r>
      <w:bookmarkEnd w:id="327"/>
    </w:p>
    <w:p>
      <w:pPr>
        <w:pStyle w:val="Heading3"/>
        <w:rPr/>
      </w:pPr>
      <w:bookmarkStart w:id="328" w:name="banque-dépreuves"/>
      <w:r>
        <w:rPr/>
        <w:t>Banque d’épreuves</w:t>
      </w:r>
    </w:p>
    <w:p>
      <w:pPr>
        <w:pStyle w:val="Normal"/>
        <w:jc w:val="center"/>
        <w:rPr/>
      </w:pPr>
      <w:r>
        <w:rPr/>
        <w:drawing>
          <wp:inline distT="0" distB="0" distL="0" distR="0">
            <wp:extent cx="5334000" cy="3333750"/>
            <wp:effectExtent l="0" t="0" r="0" b="0"/>
            <wp:docPr id="115" name="Image115" descr="La banque d’épreu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115" descr="La banque d’épreuves"/>
                    <pic:cNvPicPr>
                      <a:picLocks noChangeAspect="1" noChangeArrowheads="1"/>
                    </pic:cNvPicPr>
                  </pic:nvPicPr>
                  <pic:blipFill>
                    <a:blip r:embed="rId116"/>
                    <a:stretch>
                      <a:fillRect/>
                    </a:stretch>
                  </pic:blipFill>
                  <pic:spPr bwMode="auto">
                    <a:xfrm>
                      <a:off x="0" y="0"/>
                      <a:ext cx="5334000" cy="3333750"/>
                    </a:xfrm>
                    <a:prstGeom prst="rect">
                      <a:avLst/>
                    </a:prstGeom>
                  </pic:spPr>
                </pic:pic>
              </a:graphicData>
            </a:graphic>
          </wp:inline>
        </w:drawing>
      </w:r>
    </w:p>
    <w:p>
      <w:pPr>
        <w:pStyle w:val="ImageCaption"/>
        <w:rPr/>
      </w:pPr>
      <w:r>
        <w:rPr/>
        <w:t>La banque d’épreuves</w:t>
      </w:r>
    </w:p>
    <w:p>
      <w:pPr>
        <w:pStyle w:val="BodyText"/>
        <w:rPr/>
      </w:pPr>
      <w:r>
        <w:rPr/>
        <w:t xml:space="preserve">Les anciens sujets publiés : </w:t>
      </w:r>
      <w:r>
        <w:rPr>
          <w:b/>
          <w:bCs/>
        </w:rPr>
        <w:t>Voir Sujet</w:t>
      </w:r>
      <w:r>
        <w:rPr/>
        <w:t xml:space="preserve">, </w:t>
      </w:r>
      <w:r>
        <w:rPr>
          <w:b/>
          <w:bCs/>
        </w:rPr>
        <w:t>Voir Corrigé</w:t>
      </w:r>
      <w:r>
        <w:rPr/>
        <w:t xml:space="preserve">, </w:t>
      </w:r>
      <w:r>
        <w:rPr>
          <w:b/>
          <w:bCs/>
        </w:rPr>
        <w:t>Télécharger Sujet</w:t>
      </w:r>
      <w:r>
        <w:rPr/>
        <w:t xml:space="preserve">, </w:t>
      </w:r>
      <w:r>
        <w:rPr>
          <w:b/>
          <w:bCs/>
        </w:rPr>
        <w:t>Télécharger Corrigé</w:t>
      </w:r>
      <w:r>
        <w:rPr/>
        <w:t>.</w:t>
      </w:r>
      <w:bookmarkEnd w:id="328"/>
    </w:p>
    <w:p>
      <w:pPr>
        <w:pStyle w:val="Heading3"/>
        <w:rPr/>
      </w:pPr>
      <w:bookmarkStart w:id="329" w:name="discipline"/>
      <w:r>
        <w:rPr/>
        <w:t>Discipline</w:t>
      </w:r>
    </w:p>
    <w:p>
      <w:pPr>
        <w:pStyle w:val="Normal"/>
        <w:jc w:val="center"/>
        <w:rPr/>
      </w:pPr>
      <w:r>
        <w:rPr/>
        <w:drawing>
          <wp:inline distT="0" distB="0" distL="0" distR="0">
            <wp:extent cx="5334000" cy="3333750"/>
            <wp:effectExtent l="0" t="0" r="0" b="0"/>
            <wp:docPr id="116" name="Image116" descr="L’état discipli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16" descr="L’état disciplinaire"/>
                    <pic:cNvPicPr>
                      <a:picLocks noChangeAspect="1" noChangeArrowheads="1"/>
                    </pic:cNvPicPr>
                  </pic:nvPicPr>
                  <pic:blipFill>
                    <a:blip r:embed="rId117"/>
                    <a:stretch>
                      <a:fillRect/>
                    </a:stretch>
                  </pic:blipFill>
                  <pic:spPr bwMode="auto">
                    <a:xfrm>
                      <a:off x="0" y="0"/>
                      <a:ext cx="5334000" cy="3333750"/>
                    </a:xfrm>
                    <a:prstGeom prst="rect">
                      <a:avLst/>
                    </a:prstGeom>
                  </pic:spPr>
                </pic:pic>
              </a:graphicData>
            </a:graphic>
          </wp:inline>
        </w:drawing>
      </w:r>
    </w:p>
    <w:p>
      <w:pPr>
        <w:pStyle w:val="ImageCaption"/>
        <w:rPr/>
      </w:pPr>
      <w:r>
        <w:rPr/>
        <w:t>L’état disciplinaire</w:t>
      </w:r>
    </w:p>
    <w:p>
      <w:pPr>
        <w:pStyle w:val="BodyText"/>
        <w:rPr/>
      </w:pPr>
      <w:bookmarkStart w:id="330" w:name="discipline"/>
      <w:r>
        <w:rPr/>
        <w:t>« État Disciplinaire » : vos éventuelles sanctions (Date, Type, Motif, Durée, Statut). « Votre dossier disciplinaire est exemplaire. Aucune sanction active. » s’affiche s’il n’y en a pas.</w:t>
      </w:r>
      <w:bookmarkEnd w:id="330"/>
    </w:p>
    <w:p>
      <w:pPr>
        <w:pStyle w:val="Heading3"/>
        <w:rPr/>
      </w:pPr>
      <w:bookmarkStart w:id="331" w:name="se-déconnecter-1"/>
      <w:r>
        <w:rPr/>
        <w:t>Se déconnecter</w:t>
      </w:r>
    </w:p>
    <w:p>
      <w:pPr>
        <w:pStyle w:val="FirstParagraph"/>
        <w:rPr/>
      </w:pPr>
      <w:r>
        <w:rPr/>
        <w:t xml:space="preserve">Avatar en haut à droite → </w:t>
      </w:r>
      <w:r>
        <w:rPr>
          <w:b/>
          <w:bCs/>
        </w:rPr>
        <w:t>Déconnexion</w:t>
      </w:r>
      <w:r>
        <w:rPr/>
        <w:t>. Pensez-y sur un ordinateur partagé (cybercafé, salle informatique).</w:t>
      </w:r>
      <w:bookmarkEnd w:id="316"/>
      <w:bookmarkEnd w:id="331"/>
    </w:p>
    <w:p>
      <w:pPr>
        <w:pStyle w:val="Heading2"/>
        <w:rPr/>
      </w:pPr>
      <w:bookmarkStart w:id="332" w:name="__RefHeading___Toc15192_1458957718"/>
      <w:bookmarkStart w:id="333" w:name="questions-fréquentes"/>
      <w:bookmarkEnd w:id="332"/>
      <w:r>
        <w:rPr/>
        <w:t>Questions fréquentes</w:t>
      </w:r>
    </w:p>
    <w:p>
      <w:pPr>
        <w:pStyle w:val="Heading3"/>
        <w:rPr/>
      </w:pPr>
      <w:bookmarkStart w:id="334" w:name="connexion-et-comptes"/>
      <w:r>
        <w:rPr/>
        <w:t>Connexion et comptes</w:t>
      </w:r>
    </w:p>
    <w:p>
      <w:pPr>
        <w:pStyle w:val="QuestionFAQ"/>
        <w:rPr/>
      </w:pPr>
      <w:r>
        <w:rPr/>
        <w:t>J’ai oublié mon mot de passe.</w:t>
      </w:r>
    </w:p>
    <w:p>
      <w:pPr>
        <w:pStyle w:val="BodyText"/>
        <w:rPr/>
      </w:pPr>
      <w:r>
        <w:rPr/>
        <w:t xml:space="preserve">Demandez une réinitialisation à l’administration : </w:t>
      </w:r>
      <w:r>
        <w:rPr>
          <w:b/>
          <w:bCs/>
        </w:rPr>
        <w:t>Système</w:t>
      </w:r>
      <w:r>
        <w:rPr/>
        <w:t xml:space="preserve"> → </w:t>
      </w:r>
      <w:r>
        <w:rPr>
          <w:i/>
          <w:iCs/>
        </w:rPr>
        <w:t>Utilisateurs</w:t>
      </w:r>
      <w:r>
        <w:rPr/>
        <w:t xml:space="preserve"> (personnel) ou </w:t>
      </w:r>
      <w:r>
        <w:rPr>
          <w:b/>
          <w:bCs/>
        </w:rPr>
        <w:t>Enseignants</w:t>
      </w:r>
      <w:r>
        <w:rPr/>
        <w:t xml:space="preserve"> → </w:t>
      </w:r>
      <w:r>
        <w:rPr>
          <w:b/>
          <w:bCs/>
        </w:rPr>
        <w:t>Réinitialiser le mot de passe</w:t>
      </w:r>
      <w:r>
        <w:rPr/>
        <w:t xml:space="preserve"> (formateurs). Pour un étudiant, l’administration consulte son mot de passe initial dans sa fiche ou le fait réinitialiser par un administrateur.</w:t>
      </w:r>
    </w:p>
    <w:p>
      <w:pPr>
        <w:pStyle w:val="QuestionFAQ"/>
        <w:rPr/>
      </w:pPr>
      <w:r>
        <w:rPr/>
        <w:t>Je me connecte mais la page tourne sans fin / reste blanche.</w:t>
      </w:r>
    </w:p>
    <w:p>
      <w:pPr>
        <w:pStyle w:val="Compact"/>
        <w:numPr>
          <w:ilvl w:val="0"/>
          <w:numId w:val="436"/>
        </w:numPr>
        <w:rPr/>
      </w:pPr>
      <w:r>
        <w:rPr/>
        <w:t>Rechargez la page (</w:t>
      </w:r>
      <w:r>
        <w:rPr>
          <w:b/>
          <w:bCs/>
        </w:rPr>
        <w:t>F5</w:t>
      </w:r>
      <w:r>
        <w:rPr/>
        <w:t>).</w:t>
      </w:r>
    </w:p>
    <w:p>
      <w:pPr>
        <w:pStyle w:val="Compact"/>
        <w:numPr>
          <w:ilvl w:val="0"/>
          <w:numId w:val="437"/>
        </w:numPr>
        <w:rPr/>
      </w:pPr>
      <w:r>
        <w:rPr/>
        <w:t>Déconnectez-vous puis reconnectez-vous.</w:t>
      </w:r>
    </w:p>
    <w:p>
      <w:pPr>
        <w:pStyle w:val="Compact"/>
        <w:numPr>
          <w:ilvl w:val="0"/>
          <w:numId w:val="438"/>
        </w:numPr>
        <w:rPr/>
      </w:pPr>
      <w:r>
        <w:rPr/>
        <w:t xml:space="preserve">Vérifiez dans le sélecteur du haut que l’année </w:t>
      </w:r>
      <w:r>
        <w:rPr>
          <w:b/>
          <w:bCs/>
        </w:rPr>
        <w:t>(Active)</w:t>
      </w:r>
      <w:r>
        <w:rPr/>
        <w:t xml:space="preserve"> est choisie.</w:t>
      </w:r>
    </w:p>
    <w:p>
      <w:pPr>
        <w:pStyle w:val="Compact"/>
        <w:numPr>
          <w:ilvl w:val="0"/>
          <w:numId w:val="439"/>
        </w:numPr>
        <w:rPr/>
      </w:pPr>
      <w:r>
        <w:rPr/>
        <w:t>Si le problème persiste pour tout le monde, le serveur est peut-être arrêté : prévenez le responsable informatique (Dépannage).</w:t>
      </w:r>
    </w:p>
    <w:p>
      <w:pPr>
        <w:pStyle w:val="QuestionFAQ"/>
        <w:rPr/>
      </w:pPr>
      <w:r>
        <w:rPr/>
        <w:t>Un menu a disparu / je ne vois pas un module.</w:t>
      </w:r>
    </w:p>
    <w:p>
      <w:pPr>
        <w:pStyle w:val="BodyText"/>
        <w:rPr/>
      </w:pPr>
      <w:r>
        <w:rPr/>
        <w:t>Votre rôle n’a pas accès à ce domaine. Demandez à un administrateur de vérifier votre rôle (</w:t>
      </w:r>
      <w:r>
        <w:rPr>
          <w:b/>
          <w:bCs/>
        </w:rPr>
        <w:t>Système</w:t>
      </w:r>
      <w:r>
        <w:rPr/>
        <w:t xml:space="preserve"> → </w:t>
      </w:r>
      <w:r>
        <w:rPr>
          <w:i/>
          <w:iCs/>
        </w:rPr>
        <w:t>Rôles</w:t>
      </w:r>
      <w:r>
        <w:rPr/>
        <w:t>), puis déconnectez-vous et reconnectez-vous.</w:t>
      </w:r>
    </w:p>
    <w:p>
      <w:pPr>
        <w:pStyle w:val="QuestionFAQ"/>
        <w:rPr/>
      </w:pPr>
      <w:r>
        <w:rPr/>
        <w:t>J’ai le message « Accès refusé » en enregistrant.</w:t>
      </w:r>
    </w:p>
    <w:p>
      <w:pPr>
        <w:pStyle w:val="BodyText"/>
        <w:rPr/>
      </w:pPr>
      <w:r>
        <w:rPr/>
        <w:t xml:space="preserve">Votre rôle a seulement le droit </w:t>
      </w:r>
      <w:r>
        <w:rPr>
          <w:b/>
          <w:bCs/>
        </w:rPr>
        <w:t>Lecture</w:t>
      </w:r>
      <w:r>
        <w:rPr/>
        <w:t xml:space="preserve"> sur ce domaine. Un administrateur doit lui donner le droit </w:t>
      </w:r>
      <w:r>
        <w:rPr>
          <w:b/>
          <w:bCs/>
        </w:rPr>
        <w:t>Écriture</w:t>
      </w:r>
      <w:r>
        <w:rPr/>
        <w:t>.</w:t>
      </w:r>
    </w:p>
    <w:p>
      <w:pPr>
        <w:pStyle w:val="QuestionFAQ"/>
        <w:rPr/>
      </w:pPr>
      <w:r>
        <w:rPr/>
        <w:t>Puis-je changer moi-même mon mot de passe ?</w:t>
      </w:r>
    </w:p>
    <w:p>
      <w:pPr>
        <w:pStyle w:val="BodyText"/>
        <w:rPr/>
      </w:pPr>
      <w:bookmarkStart w:id="335" w:name="connexion-et-comptes"/>
      <w:r>
        <w:rPr/>
        <w:t>Pas depuis l’interface pour l’instant : le menu « Mon profil » affiche votre nom et votre rôle. Demandez un nouveau mot de passe à l’administration si nécessaire.</w:t>
      </w:r>
      <w:bookmarkEnd w:id="335"/>
    </w:p>
    <w:p>
      <w:pPr>
        <w:pStyle w:val="Heading3"/>
        <w:rPr/>
      </w:pPr>
      <w:bookmarkStart w:id="336" w:name="étudiants-et-inscriptions"/>
      <w:r>
        <w:rPr/>
        <w:t>Étudiants et inscriptions</w:t>
      </w:r>
    </w:p>
    <w:p>
      <w:pPr>
        <w:pStyle w:val="QuestionFAQ"/>
        <w:rPr/>
      </w:pPr>
      <w:r>
        <w:rPr/>
        <w:t>Le candidat dit avoir envoyé sa préinscription mais je ne la vois pas.</w:t>
      </w:r>
    </w:p>
    <w:p>
      <w:pPr>
        <w:pStyle w:val="BodyText"/>
        <w:rPr/>
      </w:pPr>
      <w:r>
        <w:rPr/>
        <w:t>Vérifiez l’année sélectionnée en haut (la préinscription est rattachée à l’année active). Demandez au candidat s’il a vu le message « Pré-inscription envoyée » ; sinon, il doit recommencer.</w:t>
      </w:r>
    </w:p>
    <w:p>
      <w:pPr>
        <w:pStyle w:val="QuestionFAQ"/>
        <w:rPr/>
      </w:pPr>
      <w:r>
        <w:rPr/>
        <w:t>Comment transmettre ses identifiants à un nouvel étudiant ?</w:t>
      </w:r>
    </w:p>
    <w:p>
      <w:pPr>
        <w:pStyle w:val="BodyText"/>
        <w:rPr/>
      </w:pPr>
      <w:r>
        <w:rPr>
          <w:b/>
          <w:bCs/>
        </w:rPr>
        <w:t>Étudiants</w:t>
      </w:r>
      <w:r>
        <w:rPr/>
        <w:t xml:space="preserve"> → icône </w:t>
      </w:r>
      <w:r>
        <w:rPr>
          <w:i/>
          <w:iCs/>
        </w:rPr>
        <w:t>Voir détails</w:t>
      </w:r>
      <w:r>
        <w:rPr/>
        <w:t xml:space="preserve"> → rubrique </w:t>
      </w:r>
      <w:r>
        <w:rPr>
          <w:i/>
          <w:iCs/>
        </w:rPr>
        <w:t>Accès Portail Étudiant</w:t>
      </w:r>
      <w:r>
        <w:rPr/>
        <w:t>.</w:t>
      </w:r>
    </w:p>
    <w:p>
      <w:pPr>
        <w:pStyle w:val="QuestionFAQ"/>
        <w:rPr/>
      </w:pPr>
      <w:r>
        <w:rPr/>
        <w:t>Un étudiant change de classe.</w:t>
      </w:r>
    </w:p>
    <w:p>
      <w:pPr>
        <w:pStyle w:val="BodyText"/>
        <w:rPr/>
      </w:pPr>
      <w:r>
        <w:rPr/>
        <w:t>Modifiez sa fiche (</w:t>
      </w:r>
      <w:r>
        <w:rPr>
          <w:b/>
          <w:bCs/>
        </w:rPr>
        <w:t>Étudiants</w:t>
      </w:r>
      <w:r>
        <w:rPr/>
        <w:t xml:space="preserve"> → crayon) en choisissant la nouvelle filière / classe, ou utilisez </w:t>
      </w:r>
      <w:r>
        <w:rPr>
          <w:b/>
          <w:bCs/>
        </w:rPr>
        <w:t>Scolarité</w:t>
      </w:r>
      <w:r>
        <w:rPr/>
        <w:t xml:space="preserve"> → </w:t>
      </w:r>
      <w:r>
        <w:rPr>
          <w:b/>
          <w:bCs/>
        </w:rPr>
        <w:t>Nouvelle inscription</w:t>
      </w:r>
      <w:r>
        <w:rPr/>
        <w:t xml:space="preserve"> pour une nouvelle année. Les frais de la nouvelle classe s’appliquent.</w:t>
      </w:r>
    </w:p>
    <w:p>
      <w:pPr>
        <w:pStyle w:val="QuestionFAQ"/>
        <w:rPr/>
      </w:pPr>
      <w:r>
        <w:rPr/>
        <w:t>Comment saisir une sanction disciplinaire ?</w:t>
      </w:r>
    </w:p>
    <w:p>
      <w:pPr>
        <w:pStyle w:val="BodyText"/>
        <w:rPr/>
      </w:pPr>
      <w:r>
        <w:rPr/>
        <w:t>Les sanctions sont consultables par l’étudiant dans son portail (« Discipline »). Leur saisie se fait aujourd’hui depuis l’interface d’administration technique (</w:t>
      </w:r>
      <w:r>
        <w:rPr>
          <w:rStyle w:val="VerbatimChar"/>
        </w:rPr>
        <w:t>/admin/</w:t>
      </w:r>
      <w:r>
        <w:rPr/>
        <w:t xml:space="preserve"> du serveur, rubrique </w:t>
      </w:r>
      <w:r>
        <w:rPr>
          <w:i/>
          <w:iCs/>
        </w:rPr>
        <w:t>Sanctions disciplinaires</w:t>
      </w:r>
      <w:r>
        <w:rPr/>
        <w:t>), réservée au super-administrateur.</w:t>
      </w:r>
      <w:bookmarkEnd w:id="336"/>
    </w:p>
    <w:p>
      <w:pPr>
        <w:pStyle w:val="Heading3"/>
        <w:rPr/>
      </w:pPr>
      <w:bookmarkStart w:id="337" w:name="notes"/>
      <w:r>
        <w:rPr/>
        <w:t>Notes</w:t>
      </w:r>
    </w:p>
    <w:p>
      <w:pPr>
        <w:pStyle w:val="QuestionFAQ"/>
        <w:rPr/>
      </w:pPr>
      <w:r>
        <w:rPr/>
        <w:t>Les étudiants ne voient pas leurs notes.</w:t>
      </w:r>
    </w:p>
    <w:p>
      <w:pPr>
        <w:pStyle w:val="BodyText"/>
        <w:rPr/>
      </w:pPr>
      <w:r>
        <w:rPr/>
        <w:t xml:space="preserve">Les notes doivent être </w:t>
      </w:r>
      <w:r>
        <w:rPr>
          <w:b/>
          <w:bCs/>
        </w:rPr>
        <w:t>validées</w:t>
      </w:r>
      <w:r>
        <w:rPr/>
        <w:t xml:space="preserve"> : </w:t>
      </w:r>
      <w:r>
        <w:rPr>
          <w:b/>
          <w:bCs/>
        </w:rPr>
        <w:t>Notes</w:t>
      </w:r>
      <w:r>
        <w:rPr/>
        <w:t xml:space="preserve"> → </w:t>
      </w:r>
      <w:r>
        <w:rPr>
          <w:i/>
          <w:iCs/>
        </w:rPr>
        <w:t>Saisie par Cours</w:t>
      </w:r>
      <w:r>
        <w:rPr/>
        <w:t xml:space="preserve"> → choisir la classe et le cours → </w:t>
      </w:r>
      <w:r>
        <w:rPr>
          <w:b/>
          <w:bCs/>
        </w:rPr>
        <w:t>Charger la Liste</w:t>
      </w:r>
      <w:r>
        <w:rPr/>
        <w:t xml:space="preserve"> → </w:t>
      </w:r>
      <w:r>
        <w:rPr>
          <w:b/>
          <w:bCs/>
        </w:rPr>
        <w:t>Valider les notes</w:t>
      </w:r>
      <w:r>
        <w:rPr/>
        <w:t>.</w:t>
      </w:r>
    </w:p>
    <w:p>
      <w:pPr>
        <w:pStyle w:val="QuestionFAQ"/>
        <w:rPr/>
      </w:pPr>
      <w:r>
        <w:rPr/>
        <w:t>Ma note est refusée : « ne peut pas dépasser la configuration de 30 ».</w:t>
      </w:r>
    </w:p>
    <w:p>
      <w:pPr>
        <w:pStyle w:val="BodyText"/>
        <w:rPr/>
      </w:pPr>
      <w:r>
        <w:rPr/>
        <w:t>Le CC se saisit sur 30 et l’examen sur 70 (réglage par défaut). Convertissez votre note : un CC noté 15/20 se saisit 22,5 (15 × 30 ÷ 20).</w:t>
      </w:r>
    </w:p>
    <w:p>
      <w:pPr>
        <w:pStyle w:val="QuestionFAQ"/>
        <w:rPr/>
      </w:pPr>
      <w:r>
        <w:rPr/>
        <w:t>Qui est convoqué au rattrapage ?</w:t>
      </w:r>
    </w:p>
    <w:p>
      <w:pPr>
        <w:pStyle w:val="BodyText"/>
        <w:rPr/>
      </w:pPr>
      <w:r>
        <w:rPr/>
        <w:t xml:space="preserve">Tout étudiant dont la note finale d’un cours est inférieure à 50/100 (10/20). Liste dans </w:t>
      </w:r>
      <w:r>
        <w:rPr>
          <w:b/>
          <w:bCs/>
        </w:rPr>
        <w:t>Notes</w:t>
      </w:r>
      <w:r>
        <w:rPr/>
        <w:t xml:space="preserve"> → </w:t>
      </w:r>
      <w:r>
        <w:rPr>
          <w:i/>
          <w:iCs/>
        </w:rPr>
        <w:t>Rattrapages</w:t>
      </w:r>
      <w:r>
        <w:rPr/>
        <w:t>.</w:t>
      </w:r>
      <w:bookmarkEnd w:id="337"/>
    </w:p>
    <w:p>
      <w:pPr>
        <w:pStyle w:val="Heading3"/>
        <w:rPr/>
      </w:pPr>
      <w:bookmarkStart w:id="338" w:name="paiements"/>
      <w:r>
        <w:rPr/>
        <w:t>Paiements</w:t>
      </w:r>
    </w:p>
    <w:p>
      <w:pPr>
        <w:pStyle w:val="QuestionFAQ"/>
        <w:rPr/>
      </w:pPr>
      <w:r>
        <w:rPr/>
        <w:t>Le solde d’un étudiant me paraît faux.</w:t>
      </w:r>
    </w:p>
    <w:p>
      <w:pPr>
        <w:pStyle w:val="BodyText"/>
        <w:rPr/>
      </w:pPr>
      <w:r>
        <w:rPr/>
        <w:t>Vérifiez dans l’ordre : 1) les frais de sa classe (</w:t>
      </w:r>
      <w:r>
        <w:rPr>
          <w:i/>
          <w:iCs/>
        </w:rPr>
        <w:t>Configuration des Frais</w:t>
      </w:r>
      <w:r>
        <w:rPr/>
        <w:t>), 2) la présence du mot « inscription » dans le libellé des frais d’inscription, 3) ses réductions / bourse, 4) ses paiements (</w:t>
      </w:r>
      <w:r>
        <w:rPr>
          <w:b/>
          <w:bCs/>
        </w:rPr>
        <w:t>Détails &amp; Reçus</w:t>
      </w:r>
      <w:r>
        <w:rPr/>
        <w:t>) : un paiement enregistré avec le mauvais type (inscription au lieu de formation) fausse les deux soldes.</w:t>
      </w:r>
    </w:p>
    <w:p>
      <w:pPr>
        <w:pStyle w:val="QuestionFAQ"/>
        <w:rPr/>
      </w:pPr>
      <w:r>
        <w:rPr/>
        <w:t>Je me suis trompé dans un paiement.</w:t>
      </w:r>
    </w:p>
    <w:p>
      <w:pPr>
        <w:pStyle w:val="BodyText"/>
        <w:rPr/>
      </w:pPr>
      <w:r>
        <w:rPr/>
        <w:t>L’écran Scolarité ne permet pas encore de modifier ou supprimer un paiement (pour garantir la traçabilité). Demandez au super-administrateur de le corriger depuis l’interface d’administration technique (</w:t>
      </w:r>
      <w:r>
        <w:rPr>
          <w:rStyle w:val="VerbatimChar"/>
        </w:rPr>
        <w:t>/admin/</w:t>
      </w:r>
      <w:r>
        <w:rPr/>
        <w:t xml:space="preserve"> du serveur, rubrique </w:t>
      </w:r>
      <w:r>
        <w:rPr>
          <w:i/>
          <w:iCs/>
        </w:rPr>
        <w:t>Paiements</w:t>
      </w:r>
      <w:r>
        <w:rPr/>
        <w:t>), en conservant le justificatif.</w:t>
      </w:r>
      <w:bookmarkEnd w:id="338"/>
    </w:p>
    <w:p>
      <w:pPr>
        <w:pStyle w:val="Heading3"/>
        <w:rPr/>
      </w:pPr>
      <w:bookmarkStart w:id="339" w:name="paie-et-vacataires"/>
      <w:r>
        <w:rPr/>
        <w:t>Paie et vacataires</w:t>
      </w:r>
    </w:p>
    <w:p>
      <w:pPr>
        <w:pStyle w:val="QuestionFAQ"/>
        <w:rPr/>
      </w:pPr>
      <w:r>
        <w:rPr/>
        <w:t>Un vacataire n’apparaît pas dans la campagne de paie.</w:t>
      </w:r>
    </w:p>
    <w:p>
      <w:pPr>
        <w:pStyle w:val="BodyText"/>
        <w:rPr/>
      </w:pPr>
      <w:r>
        <w:rPr/>
        <w:t xml:space="preserve">Ses heures du mois ne sont pas </w:t>
      </w:r>
      <w:r>
        <w:rPr>
          <w:b/>
          <w:bCs/>
        </w:rPr>
        <w:t>validées</w:t>
      </w:r>
      <w:r>
        <w:rPr/>
        <w:t xml:space="preserve"> (récap non clôturé par le coordonnateur, ou non validé par la finance), ou son taux horaire est à 0. Voir Heures des vacataires. Supprimez la campagne (si elle n’est pas payée), régularisez, puis régénérez-la.</w:t>
      </w:r>
    </w:p>
    <w:p>
      <w:pPr>
        <w:pStyle w:val="QuestionFAQ"/>
        <w:rPr/>
      </w:pPr>
      <w:r>
        <w:rPr/>
        <w:t>Je ne peux pas générer la campagne : « déjà existante ».</w:t>
      </w:r>
    </w:p>
    <w:p>
      <w:pPr>
        <w:pStyle w:val="BodyText"/>
        <w:rPr/>
      </w:pPr>
      <w:r>
        <w:rPr/>
        <w:t>Une seule campagne par mois et par type est autorisée. Ouvrez celle qui existe, ou supprimez-la si elle n’est pas encore payée.</w:t>
      </w:r>
    </w:p>
    <w:p>
      <w:pPr>
        <w:pStyle w:val="QuestionFAQ"/>
        <w:rPr/>
      </w:pPr>
      <w:r>
        <w:rPr/>
        <w:t>Le coordonnateur ne peut pas clôturer le mois.</w:t>
      </w:r>
    </w:p>
    <w:p>
      <w:pPr>
        <w:pStyle w:val="BodyText"/>
        <w:rPr/>
      </w:pPr>
      <w:r>
        <w:rPr/>
        <w:t xml:space="preserve">La clôture n’est possible qu’à partir du </w:t>
      </w:r>
      <w:r>
        <w:rPr>
          <w:b/>
          <w:bCs/>
        </w:rPr>
        <w:t>dernier jour du mois</w:t>
      </w:r>
      <w:r>
        <w:rPr/>
        <w:t>.</w:t>
      </w:r>
      <w:bookmarkEnd w:id="339"/>
    </w:p>
    <w:p>
      <w:pPr>
        <w:pStyle w:val="Heading3"/>
        <w:rPr/>
      </w:pPr>
      <w:bookmarkStart w:id="340" w:name="divers"/>
      <w:r>
        <w:rPr/>
        <w:t>Divers</w:t>
      </w:r>
    </w:p>
    <w:p>
      <w:pPr>
        <w:pStyle w:val="QuestionFAQ"/>
        <w:rPr/>
      </w:pPr>
      <w:r>
        <w:rPr/>
        <w:t>Peut-on utiliser SmartCampus sur téléphone ?</w:t>
      </w:r>
    </w:p>
    <w:p>
      <w:pPr>
        <w:pStyle w:val="BodyText"/>
        <w:rPr/>
      </w:pPr>
      <w:r>
        <w:rPr/>
        <w:t>Oui, dans le navigateur du téléphone. Le menu s’ouvre avec l’icône ☰. Pour la saisie de grandes listes (notes, emploi du temps), un ordinateur reste plus confortable.</w:t>
      </w:r>
    </w:p>
    <w:p>
      <w:pPr>
        <w:pStyle w:val="QuestionFAQ"/>
        <w:rPr/>
      </w:pPr>
      <w:r>
        <w:rPr/>
        <w:t>Mes données sont-elles sauvegardées ?</w:t>
      </w:r>
    </w:p>
    <w:p>
      <w:pPr>
        <w:pStyle w:val="BodyText"/>
        <w:rPr/>
      </w:pPr>
      <w:bookmarkStart w:id="341" w:name="questions-fréquentes"/>
      <w:bookmarkStart w:id="342" w:name="divers"/>
      <w:r>
        <w:rPr/>
        <w:t>Oui si le responsable informatique a mis en place la sauvegarde automatique décrite dans Sauvegardes.</w:t>
      </w:r>
      <w:bookmarkEnd w:id="341"/>
      <w:bookmarkEnd w:id="342"/>
    </w:p>
    <w:p>
      <w:pPr>
        <w:pStyle w:val="Heading2"/>
        <w:rPr/>
      </w:pPr>
      <w:bookmarkStart w:id="343" w:name="__RefHeading___Toc15194_1458957718"/>
      <w:bookmarkStart w:id="344" w:name="glossaire"/>
      <w:bookmarkEnd w:id="343"/>
      <w:r>
        <w:rPr/>
        <w:t>Glossaire</w:t>
      </w:r>
    </w:p>
    <w:p>
      <w:pPr>
        <w:pStyle w:val="DefinitionTerm"/>
        <w:rPr/>
      </w:pPr>
      <w:r>
        <w:rPr/>
        <w:t>Année académique</w:t>
      </w:r>
    </w:p>
    <w:p>
      <w:pPr>
        <w:pStyle w:val="Definition"/>
        <w:rPr/>
      </w:pPr>
      <w:r>
        <w:rPr/>
        <w:t xml:space="preserve">Période scolaire (ex. 2026-2027). Une seule est </w:t>
      </w:r>
      <w:r>
        <w:rPr>
          <w:b/>
          <w:bCs/>
        </w:rPr>
        <w:t>active</w:t>
      </w:r>
      <w:r>
        <w:rPr/>
        <w:t xml:space="preserve"> ; les autres sont des archives.</w:t>
      </w:r>
    </w:p>
    <w:p>
      <w:pPr>
        <w:pStyle w:val="DefinitionTerm"/>
        <w:rPr/>
      </w:pPr>
      <w:r>
        <w:rPr/>
        <w:t>Bourse</w:t>
      </w:r>
    </w:p>
    <w:p>
      <w:pPr>
        <w:pStyle w:val="Definition"/>
        <w:rPr/>
      </w:pPr>
      <w:r>
        <w:rPr/>
        <w:t>Montant déduit de la scolarité d’un étudiant, identifié par un code unique utilisable une seule fois.</w:t>
      </w:r>
    </w:p>
    <w:p>
      <w:pPr>
        <w:pStyle w:val="DefinitionTerm"/>
        <w:rPr/>
      </w:pPr>
      <w:r>
        <w:rPr/>
        <w:t>Bulletin de paie</w:t>
      </w:r>
    </w:p>
    <w:p>
      <w:pPr>
        <w:pStyle w:val="Definition"/>
        <w:rPr/>
      </w:pPr>
      <w:r>
        <w:rPr/>
        <w:t>Fiche de salaire d’une personne pour un mois : base, primes, retenues, net à payer.</w:t>
      </w:r>
    </w:p>
    <w:p>
      <w:pPr>
        <w:pStyle w:val="DefinitionTerm"/>
        <w:rPr/>
      </w:pPr>
      <w:r>
        <w:rPr/>
        <w:t>Campagne de paie</w:t>
      </w:r>
    </w:p>
    <w:p>
      <w:pPr>
        <w:pStyle w:val="Definition"/>
        <w:rPr/>
      </w:pPr>
      <w:r>
        <w:rPr/>
        <w:t>Ensemble des bulletins d’un mois pour le personnel ou pour les formateurs. Statuts : Brouillon → Validée → Payée.</w:t>
      </w:r>
    </w:p>
    <w:p>
      <w:pPr>
        <w:pStyle w:val="DefinitionTerm"/>
        <w:rPr/>
      </w:pPr>
      <w:r>
        <w:rPr/>
        <w:t>CC (contrôle continu)</w:t>
      </w:r>
    </w:p>
    <w:p>
      <w:pPr>
        <w:pStyle w:val="Definition"/>
        <w:rPr/>
      </w:pPr>
      <w:r>
        <w:rPr/>
        <w:t>Partie de la note issue des devoirs et interrogations (par défaut sur 30).</w:t>
      </w:r>
    </w:p>
    <w:p>
      <w:pPr>
        <w:pStyle w:val="DefinitionTerm"/>
        <w:rPr/>
      </w:pPr>
      <w:r>
        <w:rPr/>
        <w:t>Classe</w:t>
      </w:r>
    </w:p>
    <w:p>
      <w:pPr>
        <w:pStyle w:val="Definition"/>
        <w:rPr/>
      </w:pPr>
      <w:r>
        <w:rPr/>
        <w:t xml:space="preserve">Un niveau d’une spécialité pour une année donnée (ex. </w:t>
      </w:r>
      <w:r>
        <w:rPr>
          <w:i/>
          <w:iCs/>
        </w:rPr>
        <w:t>Développement Web Licence 1</w:t>
      </w:r>
      <w:r>
        <w:rPr/>
        <w:t>, 2026-2027).</w:t>
      </w:r>
    </w:p>
    <w:p>
      <w:pPr>
        <w:pStyle w:val="DefinitionTerm"/>
        <w:rPr/>
      </w:pPr>
      <w:r>
        <w:rPr/>
        <w:t>Clôture (d’un récapitulatif)</w:t>
      </w:r>
    </w:p>
    <w:p>
      <w:pPr>
        <w:pStyle w:val="Definition"/>
        <w:rPr/>
      </w:pPr>
      <w:r>
        <w:rPr/>
        <w:t>Action du coordonnateur qui transmet les heures du mois d’un enseignant à la finance et verrouille les pointages.</w:t>
      </w:r>
    </w:p>
    <w:p>
      <w:pPr>
        <w:pStyle w:val="DefinitionTerm"/>
        <w:rPr/>
      </w:pPr>
      <w:r>
        <w:rPr/>
        <w:t>Coordonnateur de filière</w:t>
      </w:r>
    </w:p>
    <w:p>
      <w:pPr>
        <w:pStyle w:val="Definition"/>
        <w:rPr/>
      </w:pPr>
      <w:r>
        <w:rPr/>
        <w:t>Formateur chargé de pointer les heures des enseignants de sa filière.</w:t>
      </w:r>
    </w:p>
    <w:p>
      <w:pPr>
        <w:pStyle w:val="DefinitionTerm"/>
        <w:rPr/>
      </w:pPr>
      <w:r>
        <w:rPr/>
        <w:t>Cycle</w:t>
      </w:r>
    </w:p>
    <w:p>
      <w:pPr>
        <w:pStyle w:val="Definition"/>
        <w:rPr/>
      </w:pPr>
      <w:r>
        <w:rPr/>
        <w:t>Type de formation (Licence, BTS, Master) avec un nombre de niveaux et des horaires.</w:t>
      </w:r>
    </w:p>
    <w:p>
      <w:pPr>
        <w:pStyle w:val="DefinitionTerm"/>
        <w:rPr/>
      </w:pPr>
      <w:r>
        <w:rPr/>
        <w:t>Échéancier</w:t>
      </w:r>
    </w:p>
    <w:p>
      <w:pPr>
        <w:pStyle w:val="Definition"/>
        <w:rPr/>
      </w:pPr>
      <w:r>
        <w:rPr/>
        <w:t>Découpage de la scolarité en tranches avec dates limites.</w:t>
      </w:r>
    </w:p>
    <w:p>
      <w:pPr>
        <w:pStyle w:val="DefinitionTerm"/>
        <w:rPr/>
      </w:pPr>
      <w:r>
        <w:rPr/>
        <w:t>Exemplaire</w:t>
      </w:r>
    </w:p>
    <w:p>
      <w:pPr>
        <w:pStyle w:val="Definition"/>
        <w:rPr/>
      </w:pPr>
      <w:r>
        <w:rPr/>
        <w:t>Un objet physique d’un article d’inventaire (ex. le vidéoprojecteur n° 3).</w:t>
      </w:r>
    </w:p>
    <w:p>
      <w:pPr>
        <w:pStyle w:val="DefinitionTerm"/>
        <w:rPr/>
      </w:pPr>
      <w:r>
        <w:rPr/>
        <w:t>Filière</w:t>
      </w:r>
    </w:p>
    <w:p>
      <w:pPr>
        <w:pStyle w:val="Definition"/>
        <w:rPr/>
      </w:pPr>
      <w:r>
        <w:rPr/>
        <w:t>Grand domaine de formation (ex. Génie Informatique).</w:t>
      </w:r>
    </w:p>
    <w:p>
      <w:pPr>
        <w:pStyle w:val="DefinitionTerm"/>
        <w:rPr/>
      </w:pPr>
      <w:r>
        <w:rPr/>
        <w:t>Formateur permanent / vacataire</w:t>
      </w:r>
    </w:p>
    <w:p>
      <w:pPr>
        <w:pStyle w:val="Definition"/>
        <w:rPr/>
      </w:pPr>
      <w:r>
        <w:rPr/>
        <w:t>Permanent : salaire mensuel fixe. Vacataire : payé à l’heure effectuée.</w:t>
      </w:r>
    </w:p>
    <w:p>
      <w:pPr>
        <w:pStyle w:val="DefinitionTerm"/>
        <w:rPr/>
      </w:pPr>
      <w:r>
        <w:rPr/>
        <w:t>Matricule</w:t>
      </w:r>
    </w:p>
    <w:p>
      <w:pPr>
        <w:pStyle w:val="Definition"/>
        <w:rPr/>
      </w:pPr>
      <w:r>
        <w:rPr/>
        <w:t xml:space="preserve">Identifiant unique de l’étudiant, généré automatiquement (ex. </w:t>
      </w:r>
      <w:r>
        <w:rPr>
          <w:rStyle w:val="VerbatimChar"/>
        </w:rPr>
        <w:t>GÉNI-2026-0001</w:t>
      </w:r>
      <w:r>
        <w:rPr/>
        <w:t>).</w:t>
      </w:r>
    </w:p>
    <w:p>
      <w:pPr>
        <w:pStyle w:val="DefinitionTerm"/>
        <w:rPr/>
      </w:pPr>
      <w:r>
        <w:rPr/>
        <w:t>Module (cours)</w:t>
      </w:r>
    </w:p>
    <w:p>
      <w:pPr>
        <w:pStyle w:val="Definition"/>
        <w:rPr/>
      </w:pPr>
      <w:r>
        <w:rPr/>
        <w:t>Matière enseignée et notée, avec un coefficient.</w:t>
      </w:r>
    </w:p>
    <w:p>
      <w:pPr>
        <w:pStyle w:val="DefinitionTerm"/>
        <w:rPr/>
      </w:pPr>
      <w:r>
        <w:rPr/>
        <w:t>Pointage</w:t>
      </w:r>
    </w:p>
    <w:p>
      <w:pPr>
        <w:pStyle w:val="Definition"/>
        <w:rPr/>
      </w:pPr>
      <w:r>
        <w:rPr/>
        <w:t>Enregistrement de l’heure d’arrivée et de fin d’un enseignant pour une séance.</w:t>
      </w:r>
    </w:p>
    <w:p>
      <w:pPr>
        <w:pStyle w:val="DefinitionTerm"/>
        <w:rPr/>
      </w:pPr>
      <w:r>
        <w:rPr/>
        <w:t>Portail</w:t>
      </w:r>
    </w:p>
    <w:p>
      <w:pPr>
        <w:pStyle w:val="Definition"/>
        <w:rPr/>
      </w:pPr>
      <w:r>
        <w:rPr/>
        <w:t>Espace personnel des formateurs ou des étudiants.</w:t>
      </w:r>
    </w:p>
    <w:p>
      <w:pPr>
        <w:pStyle w:val="DefinitionTerm"/>
        <w:rPr/>
      </w:pPr>
      <w:r>
        <w:rPr/>
        <w:t>Préinscription</w:t>
      </w:r>
    </w:p>
    <w:p>
      <w:pPr>
        <w:pStyle w:val="Definition"/>
        <w:rPr/>
      </w:pPr>
      <w:r>
        <w:rPr/>
        <w:t>Demande d’inscription envoyée en ligne par un candidat, à approuver ou refuser.</w:t>
      </w:r>
    </w:p>
    <w:p>
      <w:pPr>
        <w:pStyle w:val="DefinitionTerm"/>
        <w:rPr/>
      </w:pPr>
      <w:r>
        <w:rPr/>
        <w:t>Rattrapage</w:t>
      </w:r>
    </w:p>
    <w:p>
      <w:pPr>
        <w:pStyle w:val="Definition"/>
        <w:rPr/>
      </w:pPr>
      <w:r>
        <w:rPr/>
        <w:t>Seconde session pour les notes finales inférieures à 10/20 ; la note remplace celle de l’examen.</w:t>
      </w:r>
    </w:p>
    <w:p>
      <w:pPr>
        <w:pStyle w:val="DefinitionTerm"/>
        <w:rPr/>
      </w:pPr>
      <w:r>
        <w:rPr/>
        <w:t>Rôle</w:t>
      </w:r>
    </w:p>
    <w:p>
      <w:pPr>
        <w:pStyle w:val="Definition"/>
        <w:rPr/>
      </w:pPr>
      <w:r>
        <w:rPr/>
        <w:t>Ensemble de droits (Aucun / Lecture / Écriture) attribué à un compte du personnel.</w:t>
      </w:r>
    </w:p>
    <w:p>
      <w:pPr>
        <w:pStyle w:val="DefinitionTerm"/>
        <w:rPr/>
      </w:pPr>
      <w:r>
        <w:rPr/>
        <w:t>SN (session normale)</w:t>
      </w:r>
    </w:p>
    <w:p>
      <w:pPr>
        <w:pStyle w:val="Definition"/>
        <w:rPr/>
      </w:pPr>
      <w:r>
        <w:rPr/>
        <w:t>Note d’examen (par défaut sur 70).</w:t>
      </w:r>
    </w:p>
    <w:p>
      <w:pPr>
        <w:pStyle w:val="DefinitionTerm"/>
        <w:rPr/>
      </w:pPr>
      <w:r>
        <w:rPr/>
        <w:t>Spécialité</w:t>
      </w:r>
    </w:p>
    <w:p>
      <w:pPr>
        <w:pStyle w:val="Definition"/>
        <w:rPr/>
      </w:pPr>
      <w:r>
        <w:rPr/>
        <w:t>Option à l’intérieur d’une filière (ex. Développement Web).</w:t>
      </w:r>
    </w:p>
    <w:p>
      <w:pPr>
        <w:pStyle w:val="DefinitionTerm"/>
        <w:rPr/>
      </w:pPr>
      <w:r>
        <w:rPr/>
        <w:t>Tronc commun</w:t>
      </w:r>
    </w:p>
    <w:p>
      <w:pPr>
        <w:pStyle w:val="Definition"/>
        <w:rPr/>
      </w:pPr>
      <w:r>
        <w:rPr/>
        <w:t>Cours suivi au même moment par toutes les classes de plusieurs filières.</w:t>
      </w:r>
    </w:p>
    <w:p>
      <w:pPr>
        <w:pStyle w:val="DefinitionTerm"/>
        <w:rPr/>
      </w:pPr>
      <w:r>
        <w:rPr/>
        <w:t>Validation (des notes)</w:t>
      </w:r>
    </w:p>
    <w:p>
      <w:pPr>
        <w:pStyle w:val="Definition"/>
        <w:rPr/>
      </w:pPr>
      <w:bookmarkStart w:id="345" w:name="partie-1-guide-dutilisation"/>
      <w:bookmarkStart w:id="346" w:name="glossaire"/>
      <w:r>
        <w:rPr/>
        <w:t>Action de l’administration qui rend les notes visibles aux étudiants.</w:t>
      </w:r>
      <w:bookmarkEnd w:id="345"/>
      <w:bookmarkEnd w:id="346"/>
    </w:p>
    <w:p>
      <w:pPr>
        <w:pStyle w:val="Heading1"/>
        <w:rPr/>
      </w:pPr>
      <w:bookmarkStart w:id="347" w:name="__RefHeading___Toc15196_1458957718"/>
      <w:bookmarkStart w:id="348" w:name="partie-2-installation-et-configuration"/>
      <w:bookmarkEnd w:id="347"/>
      <w:r>
        <w:rPr/>
        <w:t>Partie 2 — Installation et configuration</w:t>
      </w:r>
    </w:p>
    <w:p>
      <w:pPr>
        <w:pStyle w:val="Heading2"/>
        <w:rPr/>
      </w:pPr>
      <w:bookmarkStart w:id="349" w:name="__RefHeading___Toc15198_1458957718"/>
      <w:bookmarkStart w:id="350" w:name="installation-et-configuration"/>
      <w:bookmarkEnd w:id="349"/>
      <w:r>
        <w:rPr/>
        <w:t>Installation et configuration</w:t>
      </w:r>
    </w:p>
    <w:p>
      <w:pPr>
        <w:pStyle w:val="FirstParagraph"/>
        <w:rPr/>
      </w:pPr>
      <w:r>
        <w:rPr/>
        <w:t xml:space="preserve">Cette partie s’adresse à la personne chargée de </w:t>
      </w:r>
      <w:r>
        <w:rPr>
          <w:b/>
          <w:bCs/>
        </w:rPr>
        <w:t>mettre en place</w:t>
      </w:r>
      <w:r>
        <w:rPr/>
        <w:t xml:space="preserve"> SmartCampus (responsable informatique, prestataire). Elle explique chaque étape commande par commande ; il suffit de savoir copier-coller dans un terminal.</w:t>
      </w:r>
    </w:p>
    <w:p>
      <w:pPr>
        <w:pStyle w:val="Heading3"/>
        <w:rPr/>
      </w:pPr>
      <w:r>
        <w:rPr/>
        <w:t>Comment la plateforme est construite</w:t>
      </w:r>
    </w:p>
    <w:p>
      <w:pPr>
        <w:pStyle w:val="FirstParagraph"/>
        <w:rPr/>
      </w:pPr>
      <w:r>
        <w:rPr/>
        <w:t xml:space="preserve">SmartCampus comporte </w:t>
      </w:r>
      <w:r>
        <w:rPr>
          <w:b/>
          <w:bCs/>
        </w:rPr>
        <w:t>deux programmes</w:t>
      </w:r>
      <w:r>
        <w:rPr/>
        <w:t xml:space="preserve"> qui fonctionnent ensemble :</w:t>
      </w:r>
    </w:p>
    <w:p>
      <w:pPr>
        <w:pStyle w:val="Normal"/>
        <w:jc w:val="center"/>
        <w:rPr/>
      </w:pPr>
      <w:r>
        <w:rPr/>
        <w:drawing>
          <wp:inline distT="0" distB="0" distL="0" distR="0">
            <wp:extent cx="5334000" cy="1136015"/>
            <wp:effectExtent l="0" t="0" r="0" b="0"/>
            <wp:docPr id="117" name="Image1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117" descr=""/>
                    <pic:cNvPicPr>
                      <a:picLocks noChangeAspect="1" noChangeArrowheads="1"/>
                    </pic:cNvPicPr>
                  </pic:nvPicPr>
                  <pic:blipFill>
                    <a:blip r:embed="rId118"/>
                    <a:stretch>
                      <a:fillRect/>
                    </a:stretch>
                  </pic:blipFill>
                  <pic:spPr bwMode="auto">
                    <a:xfrm>
                      <a:off x="0" y="0"/>
                      <a:ext cx="5334000" cy="1136015"/>
                    </a:xfrm>
                    <a:prstGeom prst="rect">
                      <a:avLst/>
                    </a:prstGeom>
                  </pic:spPr>
                </pic:pic>
              </a:graphicData>
            </a:graphic>
          </wp:inline>
        </w:drawing>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844"/>
        <w:gridCol w:w="1914"/>
        <w:gridCol w:w="4880"/>
      </w:tblGrid>
      <w:tr>
        <w:trPr>
          <w:tblHeader w:val="true"/>
          <w:cantSplit w:val="true"/>
        </w:trPr>
        <w:tc>
          <w:tcPr>
            <w:tcW w:w="284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Élément</w:t>
            </w:r>
          </w:p>
        </w:tc>
        <w:tc>
          <w:tcPr>
            <w:tcW w:w="191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Dossier</w:t>
            </w:r>
          </w:p>
        </w:tc>
        <w:tc>
          <w:tcPr>
            <w:tcW w:w="488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Rôle</w:t>
            </w:r>
          </w:p>
        </w:tc>
      </w:tr>
      <w:tr>
        <w:trPr>
          <w:cantSplit w:val="true"/>
        </w:trPr>
        <w:tc>
          <w:tcPr>
            <w:tcW w:w="284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Backend</w:t>
            </w:r>
            <w:r>
              <w:rPr>
                <w:rFonts w:eastAsia="Calibri" w:cs="Calibri"/>
                <w:kern w:val="0"/>
                <w:sz w:val="19"/>
                <w:szCs w:val="19"/>
                <w:lang w:val="fr-FR" w:eastAsia="en-US" w:bidi="ar-SA"/>
              </w:rPr>
              <w:t xml:space="preserve"> (API)</w:t>
            </w:r>
          </w:p>
        </w:tc>
        <w:tc>
          <w:tcPr>
            <w:tcW w:w="19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back-istc/</w:t>
            </w:r>
          </w:p>
        </w:tc>
        <w:tc>
          <w:tcPr>
            <w:tcW w:w="48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Calculs, droits d’accès, base de données, fichiers. Écrit en Python / Django.</w:t>
            </w:r>
          </w:p>
        </w:tc>
      </w:tr>
      <w:tr>
        <w:trPr>
          <w:cantSplit w:val="true"/>
        </w:trPr>
        <w:tc>
          <w:tcPr>
            <w:tcW w:w="284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Frontend</w:t>
            </w:r>
            <w:r>
              <w:rPr>
                <w:rFonts w:eastAsia="Calibri" w:cs="Calibri"/>
                <w:kern w:val="0"/>
                <w:sz w:val="19"/>
                <w:szCs w:val="19"/>
                <w:lang w:val="fr-FR" w:eastAsia="en-US" w:bidi="ar-SA"/>
              </w:rPr>
              <w:t xml:space="preserve"> (interface)</w:t>
            </w:r>
          </w:p>
        </w:tc>
        <w:tc>
          <w:tcPr>
            <w:tcW w:w="19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frontend/</w:t>
            </w:r>
          </w:p>
        </w:tc>
        <w:tc>
          <w:tcPr>
            <w:tcW w:w="48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Les pages affichées dans le navigateur. Écrit en JavaScript / Next.js.</w:t>
            </w:r>
          </w:p>
        </w:tc>
      </w:tr>
      <w:tr>
        <w:trPr>
          <w:cantSplit w:val="true"/>
        </w:trPr>
        <w:tc>
          <w:tcPr>
            <w:tcW w:w="284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Base de données</w:t>
            </w:r>
          </w:p>
        </w:tc>
        <w:tc>
          <w:tcPr>
            <w:tcW w:w="19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c>
          <w:tcPr>
            <w:tcW w:w="48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PostgreSQL en production (SQLite pour un essai sur un poste).</w:t>
            </w:r>
          </w:p>
        </w:tc>
      </w:tr>
      <w:tr>
        <w:trPr>
          <w:cantSplit w:val="true"/>
        </w:trPr>
        <w:tc>
          <w:tcPr>
            <w:tcW w:w="284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Documentation</w:t>
            </w:r>
          </w:p>
        </w:tc>
        <w:tc>
          <w:tcPr>
            <w:tcW w:w="191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docs/</w:t>
            </w:r>
          </w:p>
        </w:tc>
        <w:tc>
          <w:tcPr>
            <w:tcW w:w="488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Ce site (généré avec MkDocs).</w:t>
            </w:r>
            <w:bookmarkStart w:id="351" w:name="comment-la-plateforme-est-construite"/>
            <w:bookmarkEnd w:id="351"/>
          </w:p>
        </w:tc>
      </w:tr>
    </w:tbl>
    <w:p>
      <w:pPr>
        <w:pStyle w:val="Heading3"/>
        <w:rPr/>
      </w:pPr>
      <w:r>
        <w:rPr/>
        <w:t>Parcours conseillé</w:t>
      </w:r>
    </w:p>
    <w:p>
      <w:pPr>
        <w:pStyle w:val="Compact"/>
        <w:numPr>
          <w:ilvl w:val="0"/>
          <w:numId w:val="440"/>
        </w:numPr>
        <w:rPr/>
      </w:pPr>
      <w:r>
        <w:rPr/>
        <w:t>Prérequis : ce qu’il faut avoir avant de commencer.</w:t>
      </w:r>
    </w:p>
    <w:p>
      <w:pPr>
        <w:pStyle w:val="Compact"/>
        <w:numPr>
          <w:ilvl w:val="0"/>
          <w:numId w:val="441"/>
        </w:numPr>
        <w:rPr/>
      </w:pPr>
      <w:r>
        <w:rPr/>
        <w:t>Installation sur un poste (test) : pour essayer la plateforme ou former les utilisateurs.</w:t>
      </w:r>
    </w:p>
    <w:p>
      <w:pPr>
        <w:pStyle w:val="Compact"/>
        <w:numPr>
          <w:ilvl w:val="0"/>
          <w:numId w:val="442"/>
        </w:numPr>
        <w:rPr/>
      </w:pPr>
      <w:r>
        <w:rPr/>
        <w:t>Mise en ligne sur un serveur : l’installation définitive.</w:t>
      </w:r>
    </w:p>
    <w:p>
      <w:pPr>
        <w:pStyle w:val="Compact"/>
        <w:numPr>
          <w:ilvl w:val="0"/>
          <w:numId w:val="443"/>
        </w:numPr>
        <w:rPr/>
      </w:pPr>
      <w:r>
        <w:rPr/>
        <w:t>Fichier de configuration (.env) : la liste de tous les réglages.</w:t>
      </w:r>
    </w:p>
    <w:p>
      <w:pPr>
        <w:pStyle w:val="Compact"/>
        <w:numPr>
          <w:ilvl w:val="0"/>
          <w:numId w:val="444"/>
        </w:numPr>
        <w:rPr/>
      </w:pPr>
      <w:r>
        <w:rPr/>
        <w:t xml:space="preserve">Sauvegardes et restauration : </w:t>
      </w:r>
      <w:r>
        <w:rPr>
          <w:b/>
          <w:bCs/>
        </w:rPr>
        <w:t>à mettre en place dès le premier jour</w:t>
      </w:r>
      <w:r>
        <w:rPr/>
        <w:t>.</w:t>
      </w:r>
    </w:p>
    <w:p>
      <w:pPr>
        <w:pStyle w:val="Compact"/>
        <w:numPr>
          <w:ilvl w:val="0"/>
          <w:numId w:val="445"/>
        </w:numPr>
        <w:rPr/>
      </w:pPr>
      <w:r>
        <w:rPr/>
        <w:t>Mettre à jour la plateforme.</w:t>
      </w:r>
    </w:p>
    <w:p>
      <w:pPr>
        <w:pStyle w:val="Compact"/>
        <w:numPr>
          <w:ilvl w:val="0"/>
          <w:numId w:val="446"/>
        </w:numPr>
        <w:rPr/>
      </w:pPr>
      <w:bookmarkStart w:id="352" w:name="installation-et-configuration"/>
      <w:r>
        <w:rPr/>
        <w:t>Dépannage : les erreurs courantes et leurs solutions.</w:t>
      </w:r>
      <w:bookmarkEnd w:id="352"/>
    </w:p>
    <w:p>
      <w:pPr>
        <w:pStyle w:val="Heading2"/>
        <w:rPr/>
      </w:pPr>
      <w:bookmarkStart w:id="353" w:name="__RefHeading___Toc15200_1458957718"/>
      <w:bookmarkStart w:id="354" w:name="prérequis-1"/>
      <w:bookmarkEnd w:id="353"/>
      <w:bookmarkEnd w:id="354"/>
      <w:r>
        <w:rPr/>
        <w:t>Prérequis</w:t>
      </w:r>
    </w:p>
    <w:p>
      <w:pPr>
        <w:pStyle w:val="Heading3"/>
        <w:rPr/>
      </w:pPr>
      <w:bookmarkStart w:id="355" w:name="pour-un-essai-sur-un-ordinateur"/>
      <w:r>
        <w:rPr/>
        <w:t>Pour un essai sur un ordinateur</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1618"/>
        <w:gridCol w:w="1947"/>
        <w:gridCol w:w="6073"/>
      </w:tblGrid>
      <w:tr>
        <w:trPr>
          <w:tblHeader w:val="true"/>
          <w:cantSplit w:val="true"/>
        </w:trPr>
        <w:tc>
          <w:tcPr>
            <w:tcW w:w="161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Logiciel</w:t>
            </w:r>
          </w:p>
        </w:tc>
        <w:tc>
          <w:tcPr>
            <w:tcW w:w="194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Version</w:t>
            </w:r>
          </w:p>
        </w:tc>
        <w:tc>
          <w:tcPr>
            <w:tcW w:w="607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Où le trouver</w:t>
            </w:r>
          </w:p>
        </w:tc>
      </w:tr>
      <w:tr>
        <w:trPr>
          <w:cantSplit w:val="true"/>
        </w:trPr>
        <w:tc>
          <w:tcPr>
            <w:tcW w:w="1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Python</w:t>
            </w:r>
          </w:p>
        </w:tc>
        <w:tc>
          <w:tcPr>
            <w:tcW w:w="19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3.11, 3.12 ou 3.13</w:t>
            </w:r>
          </w:p>
        </w:tc>
        <w:tc>
          <w:tcPr>
            <w:tcW w:w="607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https://www.python.org/downloads/ (Windows : cochez « Add Python to PATH »)</w:t>
            </w:r>
          </w:p>
        </w:tc>
      </w:tr>
      <w:tr>
        <w:trPr>
          <w:cantSplit w:val="true"/>
        </w:trPr>
        <w:tc>
          <w:tcPr>
            <w:tcW w:w="1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Node.js</w:t>
            </w:r>
          </w:p>
        </w:tc>
        <w:tc>
          <w:tcPr>
            <w:tcW w:w="19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20 LTS ou plus récent</w:t>
            </w:r>
          </w:p>
        </w:tc>
        <w:tc>
          <w:tcPr>
            <w:tcW w:w="607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https://nodejs.org (version « LTS »)</w:t>
            </w:r>
          </w:p>
        </w:tc>
      </w:tr>
      <w:tr>
        <w:trPr>
          <w:cantSplit w:val="true"/>
        </w:trPr>
        <w:tc>
          <w:tcPr>
            <w:tcW w:w="1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Git</w:t>
            </w:r>
          </w:p>
        </w:tc>
        <w:tc>
          <w:tcPr>
            <w:tcW w:w="194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récent</w:t>
            </w:r>
          </w:p>
        </w:tc>
        <w:tc>
          <w:tcPr>
            <w:tcW w:w="607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https://git-scm.com</w:t>
            </w:r>
          </w:p>
        </w:tc>
      </w:tr>
    </w:tbl>
    <w:p>
      <w:pPr>
        <w:pStyle w:val="BodyText"/>
        <w:rPr/>
      </w:pPr>
      <w:r>
        <w:rPr/>
        <w:t>Vérifiez dans un terminal (Windows : « Invite de commandes » ou « PowerShell » ; Mac : « Terminal ») :</w:t>
      </w:r>
    </w:p>
    <w:p>
      <w:pPr>
        <w:pStyle w:val="SourceCode"/>
        <w:rPr/>
      </w:pPr>
      <w:r>
        <w:rPr>
          <w:rStyle w:val="ExtensionTok"/>
        </w:rPr>
        <w:t>python3</w:t>
      </w:r>
      <w:r>
        <w:rPr>
          <w:rStyle w:val="NormalTok"/>
        </w:rPr>
        <w:t xml:space="preserve"> </w:t>
      </w:r>
      <w:r>
        <w:rPr>
          <w:rStyle w:val="AttributeTok"/>
        </w:rPr>
        <w:t>--version</w:t>
      </w:r>
      <w:r>
        <w:rPr>
          <w:rStyle w:val="NormalTok"/>
        </w:rPr>
        <w:t xml:space="preserve">   </w:t>
      </w:r>
      <w:r>
        <w:rPr>
          <w:rStyle w:val="CommentTok"/>
        </w:rPr>
        <w:t># Windows : python --version</w:t>
      </w:r>
      <w:r>
        <w:rPr/>
        <w:br/>
      </w:r>
      <w:r>
        <w:rPr>
          <w:rStyle w:val="ExtensionTok"/>
        </w:rPr>
        <w:t>node</w:t>
      </w:r>
      <w:r>
        <w:rPr>
          <w:rStyle w:val="NormalTok"/>
        </w:rPr>
        <w:t xml:space="preserve"> </w:t>
      </w:r>
      <w:r>
        <w:rPr>
          <w:rStyle w:val="AttributeTok"/>
        </w:rPr>
        <w:t>--version</w:t>
      </w:r>
      <w:r>
        <w:rPr/>
        <w:br/>
      </w:r>
      <w:r>
        <w:rPr>
          <w:rStyle w:val="ExtensionTok"/>
        </w:rPr>
        <w:t>npm</w:t>
      </w:r>
      <w:r>
        <w:rPr>
          <w:rStyle w:val="NormalTok"/>
        </w:rPr>
        <w:t xml:space="preserve"> </w:t>
      </w:r>
      <w:r>
        <w:rPr>
          <w:rStyle w:val="AttributeTok"/>
        </w:rPr>
        <w:t>--version</w:t>
      </w:r>
      <w:r>
        <w:rPr/>
        <w:br/>
      </w:r>
      <w:r>
        <w:rPr>
          <w:rStyle w:val="FunctionTok"/>
        </w:rPr>
        <w:t>git</w:t>
      </w:r>
      <w:r>
        <w:rPr>
          <w:rStyle w:val="NormalTok"/>
        </w:rPr>
        <w:t xml:space="preserve"> </w:t>
      </w:r>
      <w:r>
        <w:rPr>
          <w:rStyle w:val="AttributeTok"/>
        </w:rPr>
        <w:t>--version</w:t>
      </w:r>
      <w:bookmarkEnd w:id="355"/>
    </w:p>
    <w:p>
      <w:pPr>
        <w:pStyle w:val="Heading3"/>
        <w:rPr/>
      </w:pPr>
      <w:bookmarkStart w:id="356" w:name="pour-la-mise-en-ligne"/>
      <w:bookmarkEnd w:id="356"/>
      <w:r>
        <w:rPr/>
        <w:t>Pour la mise en ligne</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351"/>
        <w:gridCol w:w="7286"/>
      </w:tblGrid>
      <w:tr>
        <w:trPr>
          <w:tblHeader w:val="true"/>
          <w:cantSplit w:val="true"/>
        </w:trPr>
        <w:tc>
          <w:tcPr>
            <w:tcW w:w="235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Élément</w:t>
            </w:r>
          </w:p>
        </w:tc>
        <w:tc>
          <w:tcPr>
            <w:tcW w:w="728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Recommandation</w:t>
            </w:r>
          </w:p>
        </w:tc>
      </w:tr>
      <w:tr>
        <w:trPr>
          <w:cantSplit w:val="true"/>
        </w:trPr>
        <w:tc>
          <w:tcPr>
            <w:tcW w:w="23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Serveur</w:t>
            </w:r>
          </w:p>
        </w:tc>
        <w:tc>
          <w:tcPr>
            <w:tcW w:w="728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Linux (Ubuntu 22.04/24.04 ou image Bitnami), 2 vCPU, 4 Go de RAM, 40 Go de disque minimum</w:t>
            </w:r>
          </w:p>
        </w:tc>
      </w:tr>
      <w:tr>
        <w:trPr>
          <w:cantSplit w:val="true"/>
        </w:trPr>
        <w:tc>
          <w:tcPr>
            <w:tcW w:w="23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Base de données</w:t>
            </w:r>
          </w:p>
        </w:tc>
        <w:tc>
          <w:tcPr>
            <w:tcW w:w="728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PostgreSQL 14 ou plus récent</w:t>
            </w:r>
          </w:p>
        </w:tc>
      </w:tr>
      <w:tr>
        <w:trPr>
          <w:cantSplit w:val="true"/>
        </w:trPr>
        <w:tc>
          <w:tcPr>
            <w:tcW w:w="23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Serveur web</w:t>
            </w:r>
          </w:p>
        </w:tc>
        <w:tc>
          <w:tcPr>
            <w:tcW w:w="728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Nginx (ou Apache sur Bitnami) en frontal, avec HTTPS</w:t>
            </w:r>
          </w:p>
        </w:tc>
      </w:tr>
      <w:tr>
        <w:trPr>
          <w:cantSplit w:val="true"/>
        </w:trPr>
        <w:tc>
          <w:tcPr>
            <w:tcW w:w="23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de domaine</w:t>
            </w:r>
          </w:p>
        </w:tc>
        <w:tc>
          <w:tcPr>
            <w:tcW w:w="728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Ex. </w:t>
            </w:r>
            <w:r>
              <w:rPr>
                <w:rStyle w:val="VerbatimChar"/>
                <w:rFonts w:eastAsia="Calibri" w:cs="Calibri"/>
                <w:kern w:val="0"/>
                <w:lang w:val="fr-FR" w:eastAsia="en-US" w:bidi="ar-SA"/>
              </w:rPr>
              <w:t>smartcampus.exemple.cm</w:t>
            </w:r>
            <w:r>
              <w:rPr>
                <w:rFonts w:eastAsia="Calibri" w:cs="Calibri"/>
                <w:kern w:val="0"/>
                <w:sz w:val="19"/>
                <w:szCs w:val="19"/>
                <w:lang w:val="fr-FR" w:eastAsia="en-US" w:bidi="ar-SA"/>
              </w:rPr>
              <w:t xml:space="preserve"> (interface) et éventuellement </w:t>
            </w:r>
            <w:r>
              <w:rPr>
                <w:rStyle w:val="VerbatimChar"/>
                <w:rFonts w:eastAsia="Calibri" w:cs="Calibri"/>
                <w:kern w:val="0"/>
                <w:lang w:val="fr-FR" w:eastAsia="en-US" w:bidi="ar-SA"/>
              </w:rPr>
              <w:t>api.smartcampus.exemple.cm</w:t>
            </w:r>
            <w:r>
              <w:rPr>
                <w:rFonts w:eastAsia="Calibri" w:cs="Calibri"/>
                <w:kern w:val="0"/>
                <w:sz w:val="19"/>
                <w:szCs w:val="19"/>
                <w:lang w:val="fr-FR" w:eastAsia="en-US" w:bidi="ar-SA"/>
              </w:rPr>
              <w:t xml:space="preserve"> (API)</w:t>
            </w:r>
          </w:p>
        </w:tc>
      </w:tr>
      <w:tr>
        <w:trPr>
          <w:cantSplit w:val="true"/>
        </w:trPr>
        <w:tc>
          <w:tcPr>
            <w:tcW w:w="23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Certificat HTTPS</w:t>
            </w:r>
          </w:p>
        </w:tc>
        <w:tc>
          <w:tcPr>
            <w:tcW w:w="728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Let’s Encrypt (gratuit) via </w:t>
            </w:r>
            <w:r>
              <w:rPr>
                <w:rStyle w:val="VerbatimChar"/>
                <w:rFonts w:eastAsia="Calibri" w:cs="Calibri"/>
                <w:kern w:val="0"/>
                <w:lang w:val="fr-FR" w:eastAsia="en-US" w:bidi="ar-SA"/>
              </w:rPr>
              <w:t>certbot</w:t>
            </w:r>
            <w:r>
              <w:rPr>
                <w:rFonts w:eastAsia="Calibri" w:cs="Calibri"/>
                <w:kern w:val="0"/>
                <w:sz w:val="19"/>
                <w:szCs w:val="19"/>
                <w:lang w:val="fr-FR" w:eastAsia="en-US" w:bidi="ar-SA"/>
              </w:rPr>
              <w:t xml:space="preserve">, ou l’outil </w:t>
            </w:r>
            <w:r>
              <w:rPr>
                <w:rStyle w:val="VerbatimChar"/>
                <w:rFonts w:eastAsia="Calibri" w:cs="Calibri"/>
                <w:kern w:val="0"/>
                <w:lang w:val="fr-FR" w:eastAsia="en-US" w:bidi="ar-SA"/>
              </w:rPr>
              <w:t>bncert-tool</w:t>
            </w:r>
            <w:r>
              <w:rPr>
                <w:rFonts w:eastAsia="Calibri" w:cs="Calibri"/>
                <w:kern w:val="0"/>
                <w:sz w:val="19"/>
                <w:szCs w:val="19"/>
                <w:lang w:val="fr-FR" w:eastAsia="en-US" w:bidi="ar-SA"/>
              </w:rPr>
              <w:t xml:space="preserve"> sur Bitnami</w:t>
            </w:r>
          </w:p>
        </w:tc>
      </w:tr>
      <w:tr>
        <w:trPr>
          <w:cantSplit w:val="true"/>
        </w:trPr>
        <w:tc>
          <w:tcPr>
            <w:tcW w:w="235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Clés reCAPTCHA (facultatif)</w:t>
            </w:r>
          </w:p>
        </w:tc>
        <w:tc>
          <w:tcPr>
            <w:tcW w:w="728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https://www.google.com/recaptcha/admin : type </w:t>
            </w:r>
            <w:r>
              <w:rPr>
                <w:rFonts w:eastAsia="Calibri" w:cs="Calibri"/>
                <w:b/>
                <w:bCs/>
                <w:kern w:val="0"/>
                <w:sz w:val="19"/>
                <w:szCs w:val="19"/>
                <w:lang w:val="fr-FR" w:eastAsia="en-US" w:bidi="ar-SA"/>
              </w:rPr>
              <w:t>reCAPTCHA v2 « Je ne suis pas un robot »</w:t>
            </w:r>
            <w:r>
              <w:rPr>
                <w:rFonts w:eastAsia="Calibri" w:cs="Calibri"/>
                <w:kern w:val="0"/>
                <w:sz w:val="19"/>
                <w:szCs w:val="19"/>
                <w:lang w:val="fr-FR" w:eastAsia="en-US" w:bidi="ar-SA"/>
              </w:rPr>
              <w:t xml:space="preserve">, déclarer votre domaine. Vous obtenez une </w:t>
            </w:r>
            <w:r>
              <w:rPr>
                <w:rFonts w:eastAsia="Calibri" w:cs="Calibri"/>
                <w:b/>
                <w:bCs/>
                <w:kern w:val="0"/>
                <w:sz w:val="19"/>
                <w:szCs w:val="19"/>
                <w:lang w:val="fr-FR" w:eastAsia="en-US" w:bidi="ar-SA"/>
              </w:rPr>
              <w:t>clé du site</w:t>
            </w:r>
            <w:r>
              <w:rPr>
                <w:rFonts w:eastAsia="Calibri" w:cs="Calibri"/>
                <w:kern w:val="0"/>
                <w:sz w:val="19"/>
                <w:szCs w:val="19"/>
                <w:lang w:val="fr-FR" w:eastAsia="en-US" w:bidi="ar-SA"/>
              </w:rPr>
              <w:t xml:space="preserve"> (publique) et une </w:t>
            </w:r>
            <w:r>
              <w:rPr>
                <w:rFonts w:eastAsia="Calibri" w:cs="Calibri"/>
                <w:b/>
                <w:bCs/>
                <w:kern w:val="0"/>
                <w:sz w:val="19"/>
                <w:szCs w:val="19"/>
                <w:lang w:val="fr-FR" w:eastAsia="en-US" w:bidi="ar-SA"/>
              </w:rPr>
              <w:t>clé secrète</w:t>
            </w:r>
            <w:r>
              <w:rPr>
                <w:rFonts w:eastAsia="Calibri" w:cs="Calibri"/>
                <w:kern w:val="0"/>
                <w:sz w:val="19"/>
                <w:szCs w:val="19"/>
                <w:lang w:val="fr-FR" w:eastAsia="en-US" w:bidi="ar-SA"/>
              </w:rPr>
              <w:t>.</w:t>
            </w:r>
          </w:p>
        </w:tc>
      </w:tr>
    </w:tbl>
    <w:p>
      <w:pPr>
        <w:pStyle w:val="EncadreInfo"/>
        <w:rPr/>
      </w:pPr>
      <w:r>
        <w:rPr>
          <w:b/>
          <w:bCs/>
        </w:rPr>
        <w:t>Le frontend peut être hébergé ailleurs</w:t>
      </w:r>
    </w:p>
    <w:p>
      <w:pPr>
        <w:pStyle w:val="EncadreInfo"/>
        <w:rPr/>
      </w:pPr>
      <w:r>
        <w:rPr/>
        <w:t xml:space="preserve">L’interface (Next.js) peut tourner sur le même serveur ou sur un hébergeur spécialisé (Vercel…). Seule contrainte : son adresse doit être autorisée par le backend (voir </w:t>
      </w:r>
      <w:r>
        <w:rPr>
          <w:rStyle w:val="VerbatimChar"/>
        </w:rPr>
        <w:t>CORS_ALLOWED_ORIGINS</w:t>
      </w:r>
      <w:r>
        <w:rPr/>
        <w:t xml:space="preserve"> dans Configuration).</w:t>
      </w:r>
    </w:p>
    <w:p>
      <w:pPr>
        <w:pStyle w:val="Normal"/>
        <w:spacing w:before="0" w:after="60"/>
        <w:rPr>
          <w:sz w:val="8"/>
        </w:rPr>
      </w:pPr>
      <w:r>
        <w:rPr>
          <w:sz w:val="8"/>
        </w:rPr>
      </w:r>
      <w:bookmarkStart w:id="357" w:name="prérequis-1"/>
      <w:bookmarkStart w:id="358" w:name="pour-la-mise-en-ligne"/>
      <w:bookmarkStart w:id="359" w:name="prérequis-1"/>
      <w:bookmarkStart w:id="360" w:name="pour-la-mise-en-ligne"/>
      <w:bookmarkEnd w:id="359"/>
      <w:bookmarkEnd w:id="360"/>
    </w:p>
    <w:p>
      <w:pPr>
        <w:pStyle w:val="Heading2"/>
        <w:rPr/>
      </w:pPr>
      <w:bookmarkStart w:id="361" w:name="__RefHeading___Toc15202_1458957718"/>
      <w:bookmarkStart w:id="362" w:name="installation-sur-un-poste-test"/>
      <w:bookmarkEnd w:id="361"/>
      <w:r>
        <w:rPr/>
        <w:t>Installation sur un poste (test)</w:t>
      </w:r>
    </w:p>
    <w:p>
      <w:pPr>
        <w:pStyle w:val="FirstParagraph"/>
        <w:rPr/>
      </w:pPr>
      <w:r>
        <w:rPr/>
        <w:t xml:space="preserve">Cette installation sert à </w:t>
      </w:r>
      <w:r>
        <w:rPr>
          <w:b/>
          <w:bCs/>
        </w:rPr>
        <w:t>essayer</w:t>
      </w:r>
      <w:r>
        <w:rPr/>
        <w:t xml:space="preserve"> SmartCampus, à former les utilisateurs ou à développer. Elle utilise une base SQLite (un simple fichier), sans configuration.</w:t>
      </w:r>
    </w:p>
    <w:p>
      <w:pPr>
        <w:pStyle w:val="Heading3"/>
        <w:rPr/>
      </w:pPr>
      <w:bookmarkStart w:id="363" w:name="récupérer-le-code"/>
      <w:r>
        <w:rPr/>
        <w:t>1. Récupérer le code</w:t>
      </w:r>
    </w:p>
    <w:p>
      <w:pPr>
        <w:pStyle w:val="SourceCode"/>
        <w:rPr/>
      </w:pPr>
      <w:r>
        <w:rPr>
          <w:rStyle w:val="FunctionTok"/>
        </w:rPr>
        <w:t>git</w:t>
      </w:r>
      <w:r>
        <w:rPr>
          <w:rStyle w:val="NormalTok"/>
        </w:rPr>
        <w:t xml:space="preserve"> clone </w:t>
      </w:r>
      <w:r>
        <w:rPr>
          <w:rStyle w:val="OperatorTok"/>
        </w:rPr>
        <w:t>&lt;</w:t>
      </w:r>
      <w:r>
        <w:rPr>
          <w:rStyle w:val="NormalTok"/>
        </w:rPr>
        <w:t>adresse-du-dépôt</w:t>
      </w:r>
      <w:r>
        <w:rPr>
          <w:rStyle w:val="OperatorTok"/>
        </w:rPr>
        <w:t>&gt;</w:t>
      </w:r>
      <w:r>
        <w:rPr>
          <w:rStyle w:val="NormalTok"/>
        </w:rPr>
        <w:t xml:space="preserve"> istc-projects</w:t>
      </w:r>
      <w:r>
        <w:rPr/>
        <w:br/>
      </w:r>
      <w:r>
        <w:rPr>
          <w:rStyle w:val="BuiltInTok"/>
        </w:rPr>
        <w:t>cd</w:t>
      </w:r>
      <w:r>
        <w:rPr>
          <w:rStyle w:val="NormalTok"/>
        </w:rPr>
        <w:t xml:space="preserve"> istc-projects</w:t>
      </w:r>
      <w:bookmarkEnd w:id="363"/>
    </w:p>
    <w:p>
      <w:pPr>
        <w:pStyle w:val="Heading3"/>
        <w:rPr/>
      </w:pPr>
      <w:bookmarkStart w:id="364" w:name="démarrer-le-backend-api"/>
      <w:r>
        <w:rPr/>
        <w:t>2. Démarrer le backend (API)</w:t>
      </w:r>
    </w:p>
    <w:p>
      <w:pPr>
        <w:pStyle w:val="FirstParagraph"/>
        <w:rPr/>
      </w:pPr>
      <w:r>
        <w:rPr>
          <w:b/>
          <w:bCs/>
        </w:rPr>
        <w:t>Mac / Linux</w:t>
      </w:r>
    </w:p>
    <w:p>
      <w:pPr>
        <w:pStyle w:val="SourceCode"/>
        <w:rPr/>
      </w:pPr>
      <w:r>
        <w:rPr>
          <w:rStyle w:val="BuiltInTok"/>
        </w:rPr>
        <w:t>cd</w:t>
      </w:r>
      <w:r>
        <w:rPr>
          <w:rStyle w:val="NormalTok"/>
        </w:rPr>
        <w:t xml:space="preserve"> back-istc</w:t>
      </w:r>
      <w:r>
        <w:rPr/>
        <w:br/>
      </w:r>
      <w:r>
        <w:rPr>
          <w:rStyle w:val="ExtensionTok"/>
        </w:rPr>
        <w:t>python3</w:t>
      </w:r>
      <w:r>
        <w:rPr>
          <w:rStyle w:val="NormalTok"/>
        </w:rPr>
        <w:t xml:space="preserve"> </w:t>
      </w:r>
      <w:r>
        <w:rPr>
          <w:rStyle w:val="AttributeTok"/>
        </w:rPr>
        <w:t>-m</w:t>
      </w:r>
      <w:r>
        <w:rPr>
          <w:rStyle w:val="NormalTok"/>
        </w:rPr>
        <w:t xml:space="preserve"> venv venv</w:t>
      </w:r>
      <w:r>
        <w:rPr/>
        <w:br/>
      </w:r>
      <w:r>
        <w:rPr>
          <w:rStyle w:val="BuiltInTok"/>
        </w:rPr>
        <w:t>source</w:t>
      </w:r>
      <w:r>
        <w:rPr>
          <w:rStyle w:val="NormalTok"/>
        </w:rPr>
        <w:t xml:space="preserve"> venv/bin/activate</w:t>
      </w:r>
      <w:r>
        <w:rPr/>
        <w:br/>
      </w:r>
      <w:r>
        <w:rPr>
          <w:rStyle w:val="ExtensionTok"/>
        </w:rPr>
        <w:t>pip</w:t>
      </w:r>
      <w:r>
        <w:rPr>
          <w:rStyle w:val="NormalTok"/>
        </w:rPr>
        <w:t xml:space="preserve"> install </w:t>
      </w:r>
      <w:r>
        <w:rPr>
          <w:rStyle w:val="AttributeTok"/>
        </w:rPr>
        <w:t>-r</w:t>
      </w:r>
      <w:r>
        <w:rPr>
          <w:rStyle w:val="NormalTok"/>
        </w:rPr>
        <w:t xml:space="preserve"> requirements.txt</w:t>
      </w:r>
      <w:r>
        <w:rPr/>
        <w:br/>
      </w:r>
      <w:r>
        <w:rPr>
          <w:rStyle w:val="FunctionTok"/>
        </w:rPr>
        <w:t>cp</w:t>
      </w:r>
      <w:r>
        <w:rPr>
          <w:rStyle w:val="NormalTok"/>
        </w:rPr>
        <w:t xml:space="preserve"> .env.example .env</w:t>
      </w:r>
    </w:p>
    <w:p>
      <w:pPr>
        <w:pStyle w:val="FirstParagraph"/>
        <w:rPr/>
      </w:pPr>
      <w:r>
        <w:rPr>
          <w:b/>
          <w:bCs/>
        </w:rPr>
        <w:t>Windows</w:t>
      </w:r>
    </w:p>
    <w:p>
      <w:pPr>
        <w:pStyle w:val="SourceCode"/>
        <w:rPr/>
      </w:pPr>
      <w:r>
        <w:rPr>
          <w:rStyle w:val="FunctionTok"/>
        </w:rPr>
        <w:t>cd</w:t>
      </w:r>
      <w:r>
        <w:rPr>
          <w:rStyle w:val="NormalTok"/>
        </w:rPr>
        <w:t xml:space="preserve"> back</w:t>
      </w:r>
      <w:r>
        <w:rPr>
          <w:rStyle w:val="OperatorTok"/>
        </w:rPr>
        <w:t>-</w:t>
      </w:r>
      <w:r>
        <w:rPr>
          <w:rStyle w:val="NormalTok"/>
        </w:rPr>
        <w:t>istc</w:t>
      </w:r>
      <w:r>
        <w:rPr/>
        <w:br/>
      </w:r>
      <w:r>
        <w:rPr>
          <w:rStyle w:val="NormalTok"/>
        </w:rPr>
        <w:t xml:space="preserve">python </w:t>
      </w:r>
      <w:r>
        <w:rPr>
          <w:rStyle w:val="OperatorTok"/>
        </w:rPr>
        <w:t>-</w:t>
      </w:r>
      <w:r>
        <w:rPr>
          <w:rStyle w:val="NormalTok"/>
        </w:rPr>
        <w:t>m venv venv</w:t>
      </w:r>
      <w:r>
        <w:rPr/>
        <w:br/>
      </w:r>
      <w:r>
        <w:rPr>
          <w:rStyle w:val="NormalTok"/>
        </w:rPr>
        <w:t>venv\Scripts\activate</w:t>
      </w:r>
      <w:r>
        <w:rPr/>
        <w:br/>
      </w:r>
      <w:r>
        <w:rPr>
          <w:rStyle w:val="NormalTok"/>
        </w:rPr>
        <w:t xml:space="preserve">pip install </w:t>
      </w:r>
      <w:r>
        <w:rPr>
          <w:rStyle w:val="OperatorTok"/>
        </w:rPr>
        <w:t>-</w:t>
      </w:r>
      <w:r>
        <w:rPr>
          <w:rStyle w:val="NormalTok"/>
        </w:rPr>
        <w:t>r requirements</w:t>
      </w:r>
      <w:r>
        <w:rPr>
          <w:rStyle w:val="OperatorTok"/>
        </w:rPr>
        <w:t>.</w:t>
      </w:r>
      <w:r>
        <w:rPr>
          <w:rStyle w:val="FunctionTok"/>
        </w:rPr>
        <w:t>txt</w:t>
      </w:r>
      <w:r>
        <w:rPr/>
        <w:br/>
      </w:r>
      <w:r>
        <w:rPr>
          <w:rStyle w:val="FunctionTok"/>
        </w:rPr>
        <w:t>copy</w:t>
      </w:r>
      <w:r>
        <w:rPr>
          <w:rStyle w:val="NormalTok"/>
        </w:rPr>
        <w:t xml:space="preserve"> </w:t>
      </w:r>
      <w:r>
        <w:rPr>
          <w:rStyle w:val="OperatorTok"/>
        </w:rPr>
        <w:t>.</w:t>
      </w:r>
      <w:r>
        <w:rPr>
          <w:rStyle w:val="FunctionTok"/>
        </w:rPr>
        <w:t>env</w:t>
      </w:r>
      <w:r>
        <w:rPr>
          <w:rStyle w:val="OperatorTok"/>
        </w:rPr>
        <w:t>.</w:t>
      </w:r>
      <w:r>
        <w:rPr>
          <w:rStyle w:val="FunctionTok"/>
        </w:rPr>
        <w:t>example</w:t>
      </w:r>
      <w:r>
        <w:rPr>
          <w:rStyle w:val="NormalTok"/>
        </w:rPr>
        <w:t xml:space="preserve"> </w:t>
      </w:r>
      <w:r>
        <w:rPr>
          <w:rStyle w:val="OperatorTok"/>
        </w:rPr>
        <w:t>.</w:t>
      </w:r>
      <w:r>
        <w:rPr>
          <w:rStyle w:val="FunctionTok"/>
        </w:rPr>
        <w:t>env</w:t>
      </w:r>
    </w:p>
    <w:p>
      <w:pPr>
        <w:pStyle w:val="FirstParagraph"/>
        <w:rPr/>
      </w:pPr>
      <w:r>
        <w:rPr/>
        <w:t xml:space="preserve">Ouvrez le fichier </w:t>
      </w:r>
      <w:r>
        <w:rPr>
          <w:rStyle w:val="VerbatimChar"/>
        </w:rPr>
        <w:t>.env</w:t>
      </w:r>
      <w:r>
        <w:rPr/>
        <w:t xml:space="preserve"> avec un éditeur de texte et, pour un essai, mettez :</w:t>
      </w:r>
    </w:p>
    <w:p>
      <w:pPr>
        <w:pStyle w:val="SourceCode"/>
        <w:rPr/>
      </w:pPr>
      <w:r>
        <w:rPr>
          <w:rStyle w:val="DataTypeTok"/>
        </w:rPr>
        <w:t>DEBUG</w:t>
      </w:r>
      <w:r>
        <w:rPr>
          <w:rStyle w:val="OtherTok"/>
        </w:rPr>
        <w:t>=</w:t>
      </w:r>
      <w:r>
        <w:rPr>
          <w:rStyle w:val="KeywordTok"/>
        </w:rPr>
        <w:t>True</w:t>
      </w:r>
      <w:r>
        <w:rPr/>
        <w:br/>
      </w:r>
      <w:r>
        <w:rPr>
          <w:rStyle w:val="DataTypeTok"/>
        </w:rPr>
        <w:t>DATABASE_URL</w:t>
      </w:r>
      <w:r>
        <w:rPr>
          <w:rStyle w:val="OtherTok"/>
        </w:rPr>
        <w:t>=</w:t>
      </w:r>
      <w:r>
        <w:rPr/>
        <w:br/>
      </w:r>
      <w:r>
        <w:rPr>
          <w:rStyle w:val="DataTypeTok"/>
        </w:rPr>
        <w:t>RECAPTCHA_SECRET_KEY</w:t>
      </w:r>
      <w:r>
        <w:rPr>
          <w:rStyle w:val="OtherTok"/>
        </w:rPr>
        <w:t>=</w:t>
      </w:r>
    </w:p>
    <w:p>
      <w:pPr>
        <w:pStyle w:val="FirstParagraph"/>
        <w:rPr/>
      </w:pPr>
      <w:r>
        <w:rPr/>
        <w:t>(</w:t>
      </w:r>
      <w:r>
        <w:rPr>
          <w:rStyle w:val="VerbatimChar"/>
        </w:rPr>
        <w:t>DATABASE_URL</w:t>
      </w:r>
      <w:r>
        <w:rPr/>
        <w:t xml:space="preserve"> vide = base SQLite </w:t>
      </w:r>
      <w:r>
        <w:rPr>
          <w:rStyle w:val="VerbatimChar"/>
        </w:rPr>
        <w:t>db.sqlite3</w:t>
      </w:r>
      <w:r>
        <w:rPr/>
        <w:t xml:space="preserve"> créée automatiquement.)</w:t>
      </w:r>
    </w:p>
    <w:p>
      <w:pPr>
        <w:pStyle w:val="BodyText"/>
        <w:rPr/>
      </w:pPr>
      <w:r>
        <w:rPr/>
        <w:t>Créez la base et le premier administrateur :</w:t>
      </w:r>
    </w:p>
    <w:p>
      <w:pPr>
        <w:pStyle w:val="SourceCode"/>
        <w:rPr/>
      </w:pPr>
      <w:r>
        <w:rPr>
          <w:rStyle w:val="ExtensionTok"/>
        </w:rPr>
        <w:t>python</w:t>
      </w:r>
      <w:r>
        <w:rPr>
          <w:rStyle w:val="NormalTok"/>
        </w:rPr>
        <w:t xml:space="preserve"> manage.py migrate</w:t>
      </w:r>
      <w:r>
        <w:rPr/>
        <w:br/>
      </w:r>
      <w:r>
        <w:rPr>
          <w:rStyle w:val="ExtensionTok"/>
        </w:rPr>
        <w:t>python</w:t>
      </w:r>
      <w:r>
        <w:rPr>
          <w:rStyle w:val="NormalTok"/>
        </w:rPr>
        <w:t xml:space="preserve"> manage.py createsuperuser</w:t>
      </w:r>
    </w:p>
    <w:p>
      <w:pPr>
        <w:pStyle w:val="FirstParagraph"/>
        <w:rPr/>
      </w:pPr>
      <w:r>
        <w:rPr/>
        <w:t xml:space="preserve">Répondez aux questions (nom d’utilisateur, email, mot de passe). </w:t>
      </w:r>
      <w:r>
        <w:rPr>
          <w:b/>
          <w:bCs/>
        </w:rPr>
        <w:t>Ce compte est le super-administrateur</w:t>
      </w:r>
      <w:r>
        <w:rPr/>
        <w:t xml:space="preserve"> : il a accès à tout, y compris aux années archivées.</w:t>
      </w:r>
    </w:p>
    <w:p>
      <w:pPr>
        <w:pStyle w:val="BodyText"/>
        <w:rPr/>
      </w:pPr>
      <w:r>
        <w:rPr/>
        <w:t>Lancez le serveur :</w:t>
      </w:r>
    </w:p>
    <w:p>
      <w:pPr>
        <w:pStyle w:val="SourceCode"/>
        <w:rPr/>
      </w:pPr>
      <w:r>
        <w:rPr>
          <w:rStyle w:val="ExtensionTok"/>
        </w:rPr>
        <w:t>python</w:t>
      </w:r>
      <w:r>
        <w:rPr>
          <w:rStyle w:val="NormalTok"/>
        </w:rPr>
        <w:t xml:space="preserve"> manage.py runserver</w:t>
      </w:r>
    </w:p>
    <w:p>
      <w:pPr>
        <w:pStyle w:val="FirstParagraph"/>
        <w:rPr/>
      </w:pPr>
      <w:bookmarkStart w:id="365" w:name="démarrer-le-backend-api"/>
      <w:r>
        <w:rPr/>
        <w:t>Laissez cette fenêtre ouverte. Vérifiez http://127.0.0.1:8000/api/docs/ : la documentation de l’API doit s’afficher.</w:t>
      </w:r>
      <w:bookmarkEnd w:id="365"/>
    </w:p>
    <w:p>
      <w:pPr>
        <w:pStyle w:val="Heading3"/>
        <w:rPr/>
      </w:pPr>
      <w:bookmarkStart w:id="366" w:name="démarrer-le-frontend-interface"/>
      <w:r>
        <w:rPr/>
        <w:t>3. Démarrer le frontend (interface)</w:t>
      </w:r>
    </w:p>
    <w:p>
      <w:pPr>
        <w:pStyle w:val="FirstParagraph"/>
        <w:rPr/>
      </w:pPr>
      <w:r>
        <w:rPr/>
        <w:t xml:space="preserve">Dans une </w:t>
      </w:r>
      <w:r>
        <w:rPr>
          <w:b/>
          <w:bCs/>
        </w:rPr>
        <w:t>deuxième</w:t>
      </w:r>
      <w:r>
        <w:rPr/>
        <w:t xml:space="preserve"> fenêtre de terminal :</w:t>
      </w:r>
    </w:p>
    <w:p>
      <w:pPr>
        <w:pStyle w:val="SourceCode"/>
        <w:rPr/>
      </w:pPr>
      <w:r>
        <w:rPr>
          <w:rStyle w:val="BuiltInTok"/>
        </w:rPr>
        <w:t>cd</w:t>
      </w:r>
      <w:r>
        <w:rPr>
          <w:rStyle w:val="NormalTok"/>
        </w:rPr>
        <w:t xml:space="preserve"> frontend</w:t>
      </w:r>
      <w:r>
        <w:rPr/>
        <w:br/>
      </w:r>
      <w:r>
        <w:rPr>
          <w:rStyle w:val="ExtensionTok"/>
        </w:rPr>
        <w:t>npm</w:t>
      </w:r>
      <w:r>
        <w:rPr>
          <w:rStyle w:val="NormalTok"/>
        </w:rPr>
        <w:t xml:space="preserve"> install</w:t>
      </w:r>
      <w:r>
        <w:rPr/>
        <w:br/>
      </w:r>
      <w:r>
        <w:rPr>
          <w:rStyle w:val="FunctionTok"/>
        </w:rPr>
        <w:t>cp</w:t>
      </w:r>
      <w:r>
        <w:rPr>
          <w:rStyle w:val="NormalTok"/>
        </w:rPr>
        <w:t xml:space="preserve"> .env.example .env.local      </w:t>
      </w:r>
      <w:r>
        <w:rPr>
          <w:rStyle w:val="CommentTok"/>
        </w:rPr>
        <w:t># Windows : copy .env.example .env.local</w:t>
      </w:r>
      <w:r>
        <w:rPr/>
        <w:br/>
      </w:r>
      <w:r>
        <w:rPr>
          <w:rStyle w:val="ExtensionTok"/>
        </w:rPr>
        <w:t>npm</w:t>
      </w:r>
      <w:r>
        <w:rPr>
          <w:rStyle w:val="NormalTok"/>
        </w:rPr>
        <w:t xml:space="preserve"> run dev</w:t>
      </w:r>
    </w:p>
    <w:p>
      <w:pPr>
        <w:pStyle w:val="FirstParagraph"/>
        <w:rPr/>
      </w:pPr>
      <w:r>
        <w:rPr/>
        <w:t xml:space="preserve">Vérifiez que </w:t>
      </w:r>
      <w:r>
        <w:rPr>
          <w:rStyle w:val="VerbatimChar"/>
        </w:rPr>
        <w:t>.env.local</w:t>
      </w:r>
      <w:r>
        <w:rPr/>
        <w:t xml:space="preserve"> contient </w:t>
      </w:r>
      <w:r>
        <w:rPr>
          <w:rStyle w:val="VerbatimChar"/>
        </w:rPr>
        <w:t>NEXT_PUBLIC_API_BASE_URL=http://127.0.0.1:8000</w:t>
      </w:r>
      <w:r>
        <w:rPr/>
        <w:t>.</w:t>
      </w:r>
    </w:p>
    <w:p>
      <w:pPr>
        <w:pStyle w:val="BodyText"/>
        <w:rPr/>
      </w:pPr>
      <w:bookmarkStart w:id="367" w:name="démarrer-le-frontend-interface"/>
      <w:r>
        <w:rPr/>
        <w:t>Ouvrez http://localhost:3000 et connectez-vous avec le super-administrateur créé plus haut.</w:t>
      </w:r>
      <w:bookmarkEnd w:id="367"/>
    </w:p>
    <w:p>
      <w:pPr>
        <w:pStyle w:val="Heading3"/>
        <w:rPr/>
      </w:pPr>
      <w:bookmarkStart w:id="368" w:name="premiers-réglages"/>
      <w:bookmarkEnd w:id="368"/>
      <w:r>
        <w:rPr/>
        <w:t>4. Premiers réglages</w:t>
      </w:r>
    </w:p>
    <w:p>
      <w:pPr>
        <w:pStyle w:val="FirstParagraph"/>
        <w:rPr/>
      </w:pPr>
      <w:r>
        <w:rPr/>
        <w:t>Suivez l’ordre de mise en service du guide d’utilisation.</w:t>
      </w:r>
    </w:p>
    <w:p>
      <w:pPr>
        <w:pStyle w:val="EncadreConseil"/>
        <w:rPr/>
      </w:pPr>
      <w:r>
        <w:rPr>
          <w:b/>
          <w:bCs/>
        </w:rPr>
        <w:t>Données de démonstration</w:t>
      </w:r>
    </w:p>
    <w:p>
      <w:pPr>
        <w:pStyle w:val="EncadreConseil"/>
        <w:rPr/>
      </w:pPr>
      <w:r>
        <w:rPr/>
        <w:t xml:space="preserve">Le dossier </w:t>
      </w:r>
      <w:r>
        <w:rPr>
          <w:rStyle w:val="VerbatimChar"/>
        </w:rPr>
        <w:t>back-istc/scripts/</w:t>
      </w:r>
      <w:r>
        <w:rPr/>
        <w:t xml:space="preserve"> contient des scripts de remplissage (</w:t>
      </w:r>
      <w:r>
        <w:rPr>
          <w:rStyle w:val="VerbatimChar"/>
        </w:rPr>
        <w:t>populate_dummy_data.py</w:t>
      </w:r>
      <w:r>
        <w:rPr/>
        <w:t xml:space="preserve">, </w:t>
      </w:r>
      <w:r>
        <w:rPr>
          <w:rStyle w:val="VerbatimChar"/>
        </w:rPr>
        <w:t>populate_finances.py</w:t>
      </w:r>
      <w:r>
        <w:rPr/>
        <w:t xml:space="preserve">, </w:t>
      </w:r>
      <w:r>
        <w:rPr>
          <w:rStyle w:val="VerbatimChar"/>
        </w:rPr>
        <w:t>populate_trainers.py</w:t>
      </w:r>
      <w:r>
        <w:rPr/>
        <w:t xml:space="preserve">). Ne les utilisez </w:t>
      </w:r>
      <w:r>
        <w:rPr>
          <w:b/>
          <w:bCs/>
        </w:rPr>
        <w:t>jamais</w:t>
      </w:r>
      <w:r>
        <w:rPr/>
        <w:t xml:space="preserve"> sur la base de production : certains effacent des données existantes.</w:t>
      </w:r>
    </w:p>
    <w:p>
      <w:pPr>
        <w:pStyle w:val="Normal"/>
        <w:spacing w:before="0" w:after="60"/>
        <w:rPr>
          <w:sz w:val="8"/>
        </w:rPr>
      </w:pPr>
      <w:r>
        <w:rPr>
          <w:sz w:val="8"/>
        </w:rPr>
      </w:r>
      <w:bookmarkStart w:id="369" w:name="premiers-réglages"/>
      <w:bookmarkStart w:id="370" w:name="premiers-réglages"/>
      <w:bookmarkEnd w:id="370"/>
    </w:p>
    <w:p>
      <w:pPr>
        <w:pStyle w:val="Heading3"/>
        <w:rPr/>
      </w:pPr>
      <w:bookmarkStart w:id="371" w:name="arrêter-relancer"/>
      <w:r>
        <w:rPr/>
        <w:t>Arrêter / relancer</w:t>
      </w:r>
    </w:p>
    <w:p>
      <w:pPr>
        <w:pStyle w:val="Compact"/>
        <w:numPr>
          <w:ilvl w:val="0"/>
          <w:numId w:val="447"/>
        </w:numPr>
        <w:rPr/>
      </w:pPr>
      <w:r>
        <w:rPr/>
        <w:t xml:space="preserve">Arrêter : </w:t>
      </w:r>
      <w:r>
        <w:rPr>
          <w:b/>
          <w:bCs/>
        </w:rPr>
        <w:t>Ctrl+C</w:t>
      </w:r>
      <w:r>
        <w:rPr/>
        <w:t xml:space="preserve"> dans chaque fenêtre de terminal.</w:t>
      </w:r>
    </w:p>
    <w:p>
      <w:pPr>
        <w:pStyle w:val="Compact"/>
        <w:numPr>
          <w:ilvl w:val="0"/>
          <w:numId w:val="448"/>
        </w:numPr>
        <w:rPr/>
      </w:pPr>
      <w:r>
        <w:rPr/>
        <w:t xml:space="preserve">Relancer : refaire </w:t>
      </w:r>
      <w:r>
        <w:rPr>
          <w:rStyle w:val="VerbatimChar"/>
        </w:rPr>
        <w:t>source venv/bin/activate</w:t>
      </w:r>
      <w:r>
        <w:rPr/>
        <w:t xml:space="preserve"> (ou </w:t>
      </w:r>
      <w:r>
        <w:rPr>
          <w:rStyle w:val="VerbatimChar"/>
        </w:rPr>
        <w:t>venv\Scripts\activate</w:t>
      </w:r>
      <w:r>
        <w:rPr/>
        <w:t xml:space="preserve">) puis </w:t>
      </w:r>
      <w:r>
        <w:rPr>
          <w:rStyle w:val="VerbatimChar"/>
        </w:rPr>
        <w:t>python manage.py runserver</w:t>
      </w:r>
      <w:r>
        <w:rPr/>
        <w:t xml:space="preserve"> dans </w:t>
      </w:r>
      <w:r>
        <w:rPr>
          <w:rStyle w:val="VerbatimChar"/>
        </w:rPr>
        <w:t>back-istc</w:t>
      </w:r>
      <w:r>
        <w:rPr/>
        <w:t xml:space="preserve">, et </w:t>
      </w:r>
      <w:r>
        <w:rPr>
          <w:rStyle w:val="VerbatimChar"/>
        </w:rPr>
        <w:t>npm run dev</w:t>
      </w:r>
      <w:r>
        <w:rPr/>
        <w:t xml:space="preserve"> dans </w:t>
      </w:r>
      <w:r>
        <w:rPr>
          <w:rStyle w:val="VerbatimChar"/>
        </w:rPr>
        <w:t>frontend</w:t>
      </w:r>
      <w:r>
        <w:rPr/>
        <w:t>.</w:t>
      </w:r>
      <w:bookmarkEnd w:id="362"/>
      <w:bookmarkEnd w:id="371"/>
    </w:p>
    <w:p>
      <w:pPr>
        <w:pStyle w:val="Heading2"/>
        <w:rPr/>
      </w:pPr>
      <w:bookmarkStart w:id="372" w:name="__RefHeading___Toc15204_1458957718"/>
      <w:bookmarkStart w:id="373" w:name="mise-en-ligne-sur-un-serveur"/>
      <w:bookmarkEnd w:id="372"/>
      <w:r>
        <w:rPr/>
        <w:t>Mise en ligne sur un serveur</w:t>
      </w:r>
    </w:p>
    <w:p>
      <w:pPr>
        <w:pStyle w:val="FirstParagraph"/>
        <w:rPr/>
      </w:pPr>
      <w:r>
        <w:rPr/>
        <w:t xml:space="preserve">Ce guide décrit une installation complète sur un serveur </w:t>
      </w:r>
      <w:r>
        <w:rPr>
          <w:b/>
          <w:bCs/>
        </w:rPr>
        <w:t>Linux (Ubuntu ou Bitnami)</w:t>
      </w:r>
      <w:r>
        <w:rPr/>
        <w:t xml:space="preserve"> avec :</w:t>
      </w:r>
    </w:p>
    <w:p>
      <w:pPr>
        <w:pStyle w:val="Compact"/>
        <w:numPr>
          <w:ilvl w:val="0"/>
          <w:numId w:val="449"/>
        </w:numPr>
        <w:rPr/>
      </w:pPr>
      <w:r>
        <w:rPr>
          <w:b/>
          <w:bCs/>
        </w:rPr>
        <w:t>PostgreSQL</w:t>
      </w:r>
      <w:r>
        <w:rPr/>
        <w:t xml:space="preserve"> pour la base de données ;</w:t>
      </w:r>
    </w:p>
    <w:p>
      <w:pPr>
        <w:pStyle w:val="Compact"/>
        <w:numPr>
          <w:ilvl w:val="0"/>
          <w:numId w:val="450"/>
        </w:numPr>
        <w:rPr/>
      </w:pPr>
      <w:r>
        <w:rPr>
          <w:b/>
          <w:bCs/>
        </w:rPr>
        <w:t>Gunicorn</w:t>
      </w:r>
      <w:r>
        <w:rPr/>
        <w:t xml:space="preserve"> pour faire tourner le backend Django ;</w:t>
      </w:r>
    </w:p>
    <w:p>
      <w:pPr>
        <w:pStyle w:val="Compact"/>
        <w:numPr>
          <w:ilvl w:val="0"/>
          <w:numId w:val="451"/>
        </w:numPr>
        <w:rPr/>
      </w:pPr>
      <w:r>
        <w:rPr>
          <w:b/>
          <w:bCs/>
        </w:rPr>
        <w:t>Nginx</w:t>
      </w:r>
      <w:r>
        <w:rPr/>
        <w:t xml:space="preserve"> en frontal (HTTPS, fichiers statiques et fichiers déposés) ;</w:t>
      </w:r>
    </w:p>
    <w:p>
      <w:pPr>
        <w:pStyle w:val="Compact"/>
        <w:numPr>
          <w:ilvl w:val="0"/>
          <w:numId w:val="452"/>
        </w:numPr>
        <w:rPr/>
      </w:pPr>
      <w:r>
        <w:rPr/>
        <w:t xml:space="preserve">le frontend </w:t>
      </w:r>
      <w:r>
        <w:rPr>
          <w:b/>
          <w:bCs/>
        </w:rPr>
        <w:t>Next.js</w:t>
      </w:r>
      <w:r>
        <w:rPr/>
        <w:t xml:space="preserve"> sur le même serveur (ou sur Vercel, voir la fin).</w:t>
      </w:r>
    </w:p>
    <w:p>
      <w:pPr>
        <w:pStyle w:val="FirstParagraph"/>
        <w:rPr/>
      </w:pPr>
      <w:r>
        <w:rPr/>
        <w:t>Les exemples utilisent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650"/>
        <w:gridCol w:w="5987"/>
      </w:tblGrid>
      <w:tr>
        <w:trPr>
          <w:tblHeader w:val="true"/>
          <w:cantSplit w:val="true"/>
        </w:trPr>
        <w:tc>
          <w:tcPr>
            <w:tcW w:w="365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Élément</w:t>
            </w:r>
          </w:p>
        </w:tc>
        <w:tc>
          <w:tcPr>
            <w:tcW w:w="598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Valeur d’exemple — à remplacer</w:t>
            </w:r>
          </w:p>
        </w:tc>
      </w:tr>
      <w:tr>
        <w:trPr>
          <w:cantSplit w:val="true"/>
        </w:trPr>
        <w:tc>
          <w:tcPr>
            <w:tcW w:w="3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Utilisateur Linux</w:t>
            </w:r>
          </w:p>
        </w:tc>
        <w:tc>
          <w:tcPr>
            <w:tcW w:w="598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bitnami</w:t>
            </w:r>
          </w:p>
        </w:tc>
      </w:tr>
      <w:tr>
        <w:trPr>
          <w:cantSplit w:val="true"/>
        </w:trPr>
        <w:tc>
          <w:tcPr>
            <w:tcW w:w="3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Dossier de l’application</w:t>
            </w:r>
          </w:p>
        </w:tc>
        <w:tc>
          <w:tcPr>
            <w:tcW w:w="598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/home/bitnami/istc-projects</w:t>
            </w:r>
          </w:p>
        </w:tc>
      </w:tr>
      <w:tr>
        <w:trPr>
          <w:cantSplit w:val="true"/>
        </w:trPr>
        <w:tc>
          <w:tcPr>
            <w:tcW w:w="3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Adresse de l’interface</w:t>
            </w:r>
          </w:p>
        </w:tc>
        <w:tc>
          <w:tcPr>
            <w:tcW w:w="598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https://smartcampus.exemple.cm</w:t>
            </w:r>
          </w:p>
        </w:tc>
      </w:tr>
      <w:tr>
        <w:trPr>
          <w:cantSplit w:val="true"/>
        </w:trPr>
        <w:tc>
          <w:tcPr>
            <w:tcW w:w="3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Adresse de l’API</w:t>
            </w:r>
          </w:p>
        </w:tc>
        <w:tc>
          <w:tcPr>
            <w:tcW w:w="598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https://api.smartcampus.exemple.cm</w:t>
            </w:r>
          </w:p>
        </w:tc>
      </w:tr>
      <w:tr>
        <w:trPr>
          <w:cantSplit w:val="true"/>
        </w:trPr>
        <w:tc>
          <w:tcPr>
            <w:tcW w:w="365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Base de données / utilisateur</w:t>
            </w:r>
          </w:p>
        </w:tc>
        <w:tc>
          <w:tcPr>
            <w:tcW w:w="598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smartcampus</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smartcampus</w:t>
            </w:r>
          </w:p>
        </w:tc>
      </w:tr>
    </w:tbl>
    <w:p>
      <w:pPr>
        <w:pStyle w:val="EncadreConseil"/>
        <w:rPr/>
      </w:pPr>
      <w:r>
        <w:rPr>
          <w:b/>
          <w:bCs/>
        </w:rPr>
        <w:t>Une seule adresse ?</w:t>
      </w:r>
    </w:p>
    <w:p>
      <w:pPr>
        <w:pStyle w:val="EncadreConseil"/>
        <w:rPr/>
      </w:pPr>
      <w:r>
        <w:rPr/>
        <w:t xml:space="preserve">Vous pouvez aussi servir l’interface et l’API sur le même domaine (l’API sous </w:t>
      </w:r>
      <w:r>
        <w:rPr>
          <w:rStyle w:val="VerbatimChar"/>
        </w:rPr>
        <w:t>/api/</w:t>
      </w:r>
      <w:r>
        <w:rPr/>
        <w:t xml:space="preserve">). Il suffit alors que </w:t>
      </w:r>
      <w:r>
        <w:rPr>
          <w:rStyle w:val="VerbatimChar"/>
        </w:rPr>
        <w:t>NEXT_PUBLIC_API_BASE_URL</w:t>
      </w:r>
      <w:r>
        <w:rPr/>
        <w:t xml:space="preserve"> soit l’adresse du domaine (voir l’étape 6).</w:t>
      </w:r>
    </w:p>
    <w:p>
      <w:pPr>
        <w:pStyle w:val="Normal"/>
        <w:spacing w:before="0" w:after="60"/>
        <w:rPr>
          <w:sz w:val="8"/>
        </w:rPr>
      </w:pPr>
      <w:r>
        <w:rPr>
          <w:sz w:val="8"/>
        </w:rPr>
      </w:r>
    </w:p>
    <w:p>
      <w:pPr>
        <w:pStyle w:val="Heading3"/>
        <w:rPr/>
      </w:pPr>
      <w:bookmarkStart w:id="374" w:name="paquets-système"/>
      <w:bookmarkEnd w:id="374"/>
      <w:r>
        <w:rPr/>
        <w:t>1. Paquets système</w:t>
      </w:r>
    </w:p>
    <w:p>
      <w:pPr>
        <w:pStyle w:val="SourceCode"/>
        <w:rPr/>
      </w:pPr>
      <w:r>
        <w:rPr>
          <w:rStyle w:val="FunctionTok"/>
        </w:rPr>
        <w:t>sudo</w:t>
      </w:r>
      <w:r>
        <w:rPr>
          <w:rStyle w:val="NormalTok"/>
        </w:rPr>
        <w:t xml:space="preserve"> apt update</w:t>
      </w:r>
      <w:r>
        <w:rPr/>
        <w:br/>
      </w:r>
      <w:r>
        <w:rPr>
          <w:rStyle w:val="FunctionTok"/>
        </w:rPr>
        <w:t>sudo</w:t>
      </w:r>
      <w:r>
        <w:rPr>
          <w:rStyle w:val="NormalTok"/>
        </w:rPr>
        <w:t xml:space="preserve"> apt install </w:t>
      </w:r>
      <w:r>
        <w:rPr>
          <w:rStyle w:val="AttributeTok"/>
        </w:rPr>
        <w:t>-y</w:t>
      </w:r>
      <w:r>
        <w:rPr>
          <w:rStyle w:val="NormalTok"/>
        </w:rPr>
        <w:t xml:space="preserve"> python3 python3-venv python3-pip git postgresql postgresql-contrib nginx</w:t>
      </w:r>
      <w:r>
        <w:rPr/>
        <w:br/>
      </w:r>
      <w:r>
        <w:rPr>
          <w:rStyle w:val="CommentTok"/>
        </w:rPr>
        <w:t># Node.js 20 LTS</w:t>
      </w:r>
      <w:r>
        <w:rPr/>
        <w:br/>
      </w:r>
      <w:r>
        <w:rPr>
          <w:rStyle w:val="ExtensionTok"/>
        </w:rPr>
        <w:t>curl</w:t>
      </w:r>
      <w:r>
        <w:rPr>
          <w:rStyle w:val="NormalTok"/>
        </w:rPr>
        <w:t xml:space="preserve"> </w:t>
      </w:r>
      <w:r>
        <w:rPr>
          <w:rStyle w:val="AttributeTok"/>
        </w:rPr>
        <w:t>-fsSL</w:t>
      </w:r>
      <w:r>
        <w:rPr>
          <w:rStyle w:val="NormalTok"/>
        </w:rPr>
        <w:t xml:space="preserve"> https://deb.nodesource.com/setup_20.x </w:t>
      </w:r>
      <w:r>
        <w:rPr>
          <w:rStyle w:val="KeywordTok"/>
        </w:rPr>
        <w:t>|</w:t>
      </w:r>
      <w:r>
        <w:rPr>
          <w:rStyle w:val="NormalTok"/>
        </w:rPr>
        <w:t xml:space="preserve"> </w:t>
      </w:r>
      <w:r>
        <w:rPr>
          <w:rStyle w:val="FunctionTok"/>
        </w:rPr>
        <w:t>sudo</w:t>
      </w:r>
      <w:r>
        <w:rPr>
          <w:rStyle w:val="NormalTok"/>
        </w:rPr>
        <w:t xml:space="preserve"> </w:t>
      </w:r>
      <w:r>
        <w:rPr>
          <w:rStyle w:val="AttributeTok"/>
        </w:rPr>
        <w:t>-E</w:t>
      </w:r>
      <w:r>
        <w:rPr>
          <w:rStyle w:val="NormalTok"/>
        </w:rPr>
        <w:t xml:space="preserve"> bash </w:t>
      </w:r>
      <w:r>
        <w:rPr>
          <w:rStyle w:val="AttributeTok"/>
        </w:rPr>
        <w:t>-</w:t>
      </w:r>
      <w:r>
        <w:rPr/>
        <w:br/>
      </w:r>
      <w:r>
        <w:rPr>
          <w:rStyle w:val="FunctionTok"/>
        </w:rPr>
        <w:t>sudo</w:t>
      </w:r>
      <w:r>
        <w:rPr>
          <w:rStyle w:val="NormalTok"/>
        </w:rPr>
        <w:t xml:space="preserve"> apt install </w:t>
      </w:r>
      <w:r>
        <w:rPr>
          <w:rStyle w:val="AttributeTok"/>
        </w:rPr>
        <w:t>-y</w:t>
      </w:r>
      <w:r>
        <w:rPr>
          <w:rStyle w:val="NormalTok"/>
        </w:rPr>
        <w:t xml:space="preserve"> nodejs</w:t>
      </w:r>
    </w:p>
    <w:p>
      <w:pPr>
        <w:pStyle w:val="EncadreInfo"/>
        <w:rPr/>
      </w:pPr>
      <w:r>
        <w:rPr>
          <w:b/>
          <w:bCs/>
        </w:rPr>
        <w:t>Bitnami</w:t>
      </w:r>
    </w:p>
    <w:p>
      <w:pPr>
        <w:pStyle w:val="EncadreInfo"/>
        <w:rPr/>
      </w:pPr>
      <w:r>
        <w:rPr/>
        <w:t xml:space="preserve">Sur une image Bitnami, Apache occupe déjà les ports 80/443. Soit vous utilisez Apache comme frontal (même principe que Nginx ci-dessous : proxy vers Gunicorn et Next.js), soit vous désactivez Apache. Le certificat HTTPS se crée alors avec </w:t>
      </w:r>
      <w:r>
        <w:rPr>
          <w:rStyle w:val="VerbatimChar"/>
        </w:rPr>
        <w:t>sudo /opt/bitnami/bncert-tool</w:t>
      </w:r>
      <w:r>
        <w:rPr/>
        <w:t>.</w:t>
      </w:r>
    </w:p>
    <w:p>
      <w:pPr>
        <w:pStyle w:val="Normal"/>
        <w:spacing w:before="0" w:after="60"/>
        <w:rPr>
          <w:sz w:val="8"/>
        </w:rPr>
      </w:pPr>
      <w:r>
        <w:rPr>
          <w:sz w:val="8"/>
        </w:rPr>
      </w:r>
      <w:bookmarkStart w:id="375" w:name="paquets-système"/>
      <w:bookmarkStart w:id="376" w:name="paquets-système"/>
      <w:bookmarkEnd w:id="376"/>
    </w:p>
    <w:p>
      <w:pPr>
        <w:pStyle w:val="Heading3"/>
        <w:rPr/>
      </w:pPr>
      <w:bookmarkStart w:id="377" w:name="base-de-données-postgresql"/>
      <w:r>
        <w:rPr/>
        <w:t>2. Base de données PostgreSQL</w:t>
      </w:r>
    </w:p>
    <w:p>
      <w:pPr>
        <w:pStyle w:val="SourceCode"/>
        <w:rPr/>
      </w:pPr>
      <w:r>
        <w:rPr>
          <w:rStyle w:val="FunctionTok"/>
        </w:rPr>
        <w:t>sudo</w:t>
      </w:r>
      <w:r>
        <w:rPr>
          <w:rStyle w:val="NormalTok"/>
        </w:rPr>
        <w:t xml:space="preserve"> </w:t>
      </w:r>
      <w:r>
        <w:rPr>
          <w:rStyle w:val="AttributeTok"/>
        </w:rPr>
        <w:t>-u</w:t>
      </w:r>
      <w:r>
        <w:rPr>
          <w:rStyle w:val="NormalTok"/>
        </w:rPr>
        <w:t xml:space="preserve"> postgres psql</w:t>
      </w:r>
    </w:p>
    <w:p>
      <w:pPr>
        <w:pStyle w:val="FirstParagraph"/>
        <w:rPr/>
      </w:pPr>
      <w:r>
        <w:rPr/>
        <w:t xml:space="preserve">Puis, dans l’invite </w:t>
      </w:r>
      <w:r>
        <w:rPr>
          <w:rStyle w:val="VerbatimChar"/>
        </w:rPr>
        <w:t>postgres=#</w:t>
      </w:r>
      <w:r>
        <w:rPr/>
        <w:t xml:space="preserve"> (choisissez un </w:t>
      </w:r>
      <w:r>
        <w:rPr>
          <w:b/>
          <w:bCs/>
        </w:rPr>
        <w:t>mot de passe fort</w:t>
      </w:r>
      <w:r>
        <w:rPr/>
        <w:t>) :</w:t>
      </w:r>
    </w:p>
    <w:p>
      <w:pPr>
        <w:pStyle w:val="SourceCode"/>
        <w:rPr/>
      </w:pPr>
      <w:r>
        <w:rPr>
          <w:rStyle w:val="KeywordTok"/>
        </w:rPr>
        <w:t>CREATE</w:t>
      </w:r>
      <w:r>
        <w:rPr>
          <w:rStyle w:val="NormalTok"/>
        </w:rPr>
        <w:t xml:space="preserve"> </w:t>
      </w:r>
      <w:r>
        <w:rPr>
          <w:rStyle w:val="FunctionTok"/>
        </w:rPr>
        <w:t>USER</w:t>
      </w:r>
      <w:r>
        <w:rPr>
          <w:rStyle w:val="NormalTok"/>
        </w:rPr>
        <w:t xml:space="preserve"> smartcampus </w:t>
      </w:r>
      <w:r>
        <w:rPr>
          <w:rStyle w:val="KeywordTok"/>
        </w:rPr>
        <w:t>WITH</w:t>
      </w:r>
      <w:r>
        <w:rPr>
          <w:rStyle w:val="NormalTok"/>
        </w:rPr>
        <w:t xml:space="preserve"> </w:t>
      </w:r>
      <w:r>
        <w:rPr>
          <w:rStyle w:val="KeywordTok"/>
        </w:rPr>
        <w:t>PASSWORD</w:t>
      </w:r>
      <w:r>
        <w:rPr>
          <w:rStyle w:val="NormalTok"/>
        </w:rPr>
        <w:t xml:space="preserve"> </w:t>
      </w:r>
      <w:r>
        <w:rPr>
          <w:rStyle w:val="StringTok"/>
        </w:rPr>
        <w:t>'MotDePasseFort'</w:t>
      </w:r>
      <w:r>
        <w:rPr>
          <w:rStyle w:val="NormalTok"/>
        </w:rPr>
        <w:t>;</w:t>
      </w:r>
      <w:r>
        <w:rPr/>
        <w:br/>
      </w:r>
      <w:r>
        <w:rPr>
          <w:rStyle w:val="KeywordTok"/>
        </w:rPr>
        <w:t>CREATE</w:t>
      </w:r>
      <w:r>
        <w:rPr>
          <w:rStyle w:val="NormalTok"/>
        </w:rPr>
        <w:t xml:space="preserve"> </w:t>
      </w:r>
      <w:r>
        <w:rPr>
          <w:rStyle w:val="KeywordTok"/>
        </w:rPr>
        <w:t>DATABASE</w:t>
      </w:r>
      <w:r>
        <w:rPr>
          <w:rStyle w:val="NormalTok"/>
        </w:rPr>
        <w:t xml:space="preserve"> smartcampus OWNER smartcampus;</w:t>
      </w:r>
      <w:r>
        <w:rPr/>
        <w:br/>
      </w:r>
      <w:r>
        <w:rPr>
          <w:rStyle w:val="NormalTok"/>
        </w:rPr>
        <w:t>\q</w:t>
      </w:r>
      <w:bookmarkEnd w:id="377"/>
    </w:p>
    <w:p>
      <w:pPr>
        <w:pStyle w:val="Heading3"/>
        <w:rPr/>
      </w:pPr>
      <w:bookmarkStart w:id="378" w:name="code-et-backend"/>
      <w:r>
        <w:rPr/>
        <w:t>3. Code et backend</w:t>
      </w:r>
    </w:p>
    <w:p>
      <w:pPr>
        <w:pStyle w:val="SourceCode"/>
        <w:rPr/>
      </w:pPr>
      <w:r>
        <w:rPr>
          <w:rStyle w:val="BuiltInTok"/>
        </w:rPr>
        <w:t>cd</w:t>
      </w:r>
      <w:r>
        <w:rPr>
          <w:rStyle w:val="NormalTok"/>
        </w:rPr>
        <w:t xml:space="preserve"> /home/bitnami</w:t>
      </w:r>
      <w:r>
        <w:rPr/>
        <w:br/>
      </w:r>
      <w:r>
        <w:rPr>
          <w:rStyle w:val="FunctionTok"/>
        </w:rPr>
        <w:t>git</w:t>
      </w:r>
      <w:r>
        <w:rPr>
          <w:rStyle w:val="NormalTok"/>
        </w:rPr>
        <w:t xml:space="preserve"> clone </w:t>
      </w:r>
      <w:r>
        <w:rPr>
          <w:rStyle w:val="OperatorTok"/>
        </w:rPr>
        <w:t>&lt;</w:t>
      </w:r>
      <w:r>
        <w:rPr>
          <w:rStyle w:val="NormalTok"/>
        </w:rPr>
        <w:t>adresse-du-dépôt</w:t>
      </w:r>
      <w:r>
        <w:rPr>
          <w:rStyle w:val="OperatorTok"/>
        </w:rPr>
        <w:t>&gt;</w:t>
      </w:r>
      <w:r>
        <w:rPr>
          <w:rStyle w:val="NormalTok"/>
        </w:rPr>
        <w:t xml:space="preserve"> istc-projects</w:t>
      </w:r>
      <w:r>
        <w:rPr/>
        <w:br/>
      </w:r>
      <w:r>
        <w:rPr>
          <w:rStyle w:val="BuiltInTok"/>
        </w:rPr>
        <w:t>cd</w:t>
      </w:r>
      <w:r>
        <w:rPr>
          <w:rStyle w:val="NormalTok"/>
        </w:rPr>
        <w:t xml:space="preserve"> istc-projects/back-istc</w:t>
      </w:r>
      <w:r>
        <w:rPr/>
        <w:br/>
      </w:r>
      <w:r>
        <w:rPr>
          <w:rStyle w:val="ExtensionTok"/>
        </w:rPr>
        <w:t>python3</w:t>
      </w:r>
      <w:r>
        <w:rPr>
          <w:rStyle w:val="NormalTok"/>
        </w:rPr>
        <w:t xml:space="preserve"> </w:t>
      </w:r>
      <w:r>
        <w:rPr>
          <w:rStyle w:val="AttributeTok"/>
        </w:rPr>
        <w:t>-m</w:t>
      </w:r>
      <w:r>
        <w:rPr>
          <w:rStyle w:val="NormalTok"/>
        </w:rPr>
        <w:t xml:space="preserve"> venv venv</w:t>
      </w:r>
      <w:r>
        <w:rPr/>
        <w:br/>
      </w:r>
      <w:r>
        <w:rPr>
          <w:rStyle w:val="BuiltInTok"/>
        </w:rPr>
        <w:t>source</w:t>
      </w:r>
      <w:r>
        <w:rPr>
          <w:rStyle w:val="NormalTok"/>
        </w:rPr>
        <w:t xml:space="preserve"> venv/bin/activate</w:t>
      </w:r>
      <w:r>
        <w:rPr/>
        <w:br/>
      </w:r>
      <w:r>
        <w:rPr>
          <w:rStyle w:val="ExtensionTok"/>
        </w:rPr>
        <w:t>pip</w:t>
      </w:r>
      <w:r>
        <w:rPr>
          <w:rStyle w:val="NormalTok"/>
        </w:rPr>
        <w:t xml:space="preserve"> install </w:t>
      </w:r>
      <w:r>
        <w:rPr>
          <w:rStyle w:val="AttributeTok"/>
        </w:rPr>
        <w:t>-r</w:t>
      </w:r>
      <w:r>
        <w:rPr>
          <w:rStyle w:val="NormalTok"/>
        </w:rPr>
        <w:t xml:space="preserve"> requirements.txt gunicorn</w:t>
      </w:r>
      <w:r>
        <w:rPr/>
        <w:br/>
      </w:r>
      <w:r>
        <w:rPr>
          <w:rStyle w:val="FunctionTok"/>
        </w:rPr>
        <w:t>cp</w:t>
      </w:r>
      <w:r>
        <w:rPr>
          <w:rStyle w:val="NormalTok"/>
        </w:rPr>
        <w:t xml:space="preserve"> .env.example .env</w:t>
      </w:r>
      <w:r>
        <w:rPr/>
        <w:br/>
      </w:r>
      <w:r>
        <w:rPr>
          <w:rStyle w:val="FunctionTok"/>
        </w:rPr>
        <w:t>nano</w:t>
      </w:r>
      <w:r>
        <w:rPr>
          <w:rStyle w:val="NormalTok"/>
        </w:rPr>
        <w:t xml:space="preserve"> .env</w:t>
      </w:r>
    </w:p>
    <w:p>
      <w:pPr>
        <w:pStyle w:val="FirstParagraph"/>
        <w:rPr/>
      </w:pPr>
      <w:r>
        <w:rPr/>
        <w:t>Renseignez au minimum (détails dans Configuration) :</w:t>
      </w:r>
    </w:p>
    <w:p>
      <w:pPr>
        <w:pStyle w:val="SourceCode"/>
        <w:rPr/>
      </w:pPr>
      <w:r>
        <w:rPr>
          <w:rStyle w:val="DataTypeTok"/>
        </w:rPr>
        <w:t>SECRET_KEY</w:t>
      </w:r>
      <w:r>
        <w:rPr>
          <w:rStyle w:val="OtherTok"/>
        </w:rPr>
        <w:t>=</w:t>
      </w:r>
      <w:r>
        <w:rPr>
          <w:rStyle w:val="StringTok"/>
        </w:rPr>
        <w:t>&lt;une longue chaîne aléatoire&gt;</w:t>
      </w:r>
      <w:r>
        <w:rPr/>
        <w:br/>
      </w:r>
      <w:r>
        <w:rPr>
          <w:rStyle w:val="DataTypeTok"/>
        </w:rPr>
        <w:t>DEBUG</w:t>
      </w:r>
      <w:r>
        <w:rPr>
          <w:rStyle w:val="OtherTok"/>
        </w:rPr>
        <w:t>=</w:t>
      </w:r>
      <w:r>
        <w:rPr>
          <w:rStyle w:val="KeywordTok"/>
        </w:rPr>
        <w:t>False</w:t>
      </w:r>
      <w:r>
        <w:rPr/>
        <w:br/>
      </w:r>
      <w:r>
        <w:rPr>
          <w:rStyle w:val="DataTypeTok"/>
        </w:rPr>
        <w:t>ALLOWED_HOSTS</w:t>
      </w:r>
      <w:r>
        <w:rPr>
          <w:rStyle w:val="OtherTok"/>
        </w:rPr>
        <w:t>=</w:t>
      </w:r>
      <w:r>
        <w:rPr>
          <w:rStyle w:val="StringTok"/>
        </w:rPr>
        <w:t>api.smartcampus.exemple.cm,smartcampus.exemple.cm</w:t>
      </w:r>
      <w:r>
        <w:rPr/>
        <w:br/>
      </w:r>
      <w:r>
        <w:rPr>
          <w:rStyle w:val="DataTypeTok"/>
        </w:rPr>
        <w:t>DATABASE_URL</w:t>
      </w:r>
      <w:r>
        <w:rPr>
          <w:rStyle w:val="OtherTok"/>
        </w:rPr>
        <w:t>=</w:t>
      </w:r>
      <w:r>
        <w:rPr>
          <w:rStyle w:val="StringTok"/>
        </w:rPr>
        <w:t>postgresql://smartcampus:MotDePasseFort@127.0.0.1:5432/smartcampus</w:t>
      </w:r>
      <w:r>
        <w:rPr/>
        <w:br/>
      </w:r>
      <w:r>
        <w:rPr>
          <w:rStyle w:val="DataTypeTok"/>
        </w:rPr>
        <w:t>CORS_ALLOWED_ORIGINS</w:t>
      </w:r>
      <w:r>
        <w:rPr>
          <w:rStyle w:val="OtherTok"/>
        </w:rPr>
        <w:t>=</w:t>
      </w:r>
      <w:r>
        <w:rPr>
          <w:rStyle w:val="StringTok"/>
        </w:rPr>
        <w:t>https://smartcampus.exemple.cm</w:t>
      </w:r>
      <w:r>
        <w:rPr/>
        <w:br/>
      </w:r>
      <w:r>
        <w:rPr>
          <w:rStyle w:val="DataTypeTok"/>
        </w:rPr>
        <w:t>RECAPTCHA_SECRET_KEY</w:t>
      </w:r>
      <w:r>
        <w:rPr>
          <w:rStyle w:val="OtherTok"/>
        </w:rPr>
        <w:t>=</w:t>
      </w:r>
      <w:r>
        <w:rPr>
          <w:rStyle w:val="StringTok"/>
        </w:rPr>
        <w:t>&lt;clé secrète reCAPTCHA, ou vide&gt;</w:t>
      </w:r>
    </w:p>
    <w:p>
      <w:pPr>
        <w:pStyle w:val="FirstParagraph"/>
        <w:rPr/>
      </w:pPr>
      <w:r>
        <w:rPr/>
        <w:t xml:space="preserve">Générer une </w:t>
      </w:r>
      <w:r>
        <w:rPr>
          <w:rStyle w:val="VerbatimChar"/>
        </w:rPr>
        <w:t>SECRET_KEY</w:t>
      </w:r>
      <w:r>
        <w:rPr/>
        <w:t xml:space="preserve"> :</w:t>
      </w:r>
    </w:p>
    <w:p>
      <w:pPr>
        <w:pStyle w:val="SourceCode"/>
        <w:rPr/>
      </w:pPr>
      <w:r>
        <w:rPr>
          <w:rStyle w:val="ExtensionTok"/>
        </w:rPr>
        <w:t>python</w:t>
      </w:r>
      <w:r>
        <w:rPr>
          <w:rStyle w:val="NormalTok"/>
        </w:rPr>
        <w:t xml:space="preserve"> </w:t>
      </w:r>
      <w:r>
        <w:rPr>
          <w:rStyle w:val="AttributeTok"/>
        </w:rPr>
        <w:t>-c</w:t>
      </w:r>
      <w:r>
        <w:rPr>
          <w:rStyle w:val="NormalTok"/>
        </w:rPr>
        <w:t xml:space="preserve"> </w:t>
      </w:r>
      <w:r>
        <w:rPr>
          <w:rStyle w:val="StringTok"/>
        </w:rPr>
        <w:t>"import secrets; print(secrets.token_urlsafe(50))"</w:t>
      </w:r>
    </w:p>
    <w:p>
      <w:pPr>
        <w:pStyle w:val="FirstParagraph"/>
        <w:rPr/>
      </w:pPr>
      <w:r>
        <w:rPr/>
        <w:t>Enregistrez (</w:t>
      </w:r>
      <w:r>
        <w:rPr>
          <w:b/>
          <w:bCs/>
        </w:rPr>
        <w:t>Ctrl+O</w:t>
      </w:r>
      <w:r>
        <w:rPr/>
        <w:t xml:space="preserve">, </w:t>
      </w:r>
      <w:r>
        <w:rPr>
          <w:b/>
          <w:bCs/>
        </w:rPr>
        <w:t>Entrée</w:t>
      </w:r>
      <w:r>
        <w:rPr/>
        <w:t xml:space="preserve">, </w:t>
      </w:r>
      <w:r>
        <w:rPr>
          <w:b/>
          <w:bCs/>
        </w:rPr>
        <w:t>Ctrl+X</w:t>
      </w:r>
      <w:r>
        <w:rPr/>
        <w:t xml:space="preserve"> dans </w:t>
      </w:r>
      <w:r>
        <w:rPr>
          <w:rStyle w:val="VerbatimChar"/>
        </w:rPr>
        <w:t>nano</w:t>
      </w:r>
      <w:r>
        <w:rPr/>
        <w:t>), puis :</w:t>
      </w:r>
    </w:p>
    <w:p>
      <w:pPr>
        <w:pStyle w:val="SourceCode"/>
        <w:rPr/>
      </w:pPr>
      <w:r>
        <w:rPr>
          <w:rStyle w:val="ExtensionTok"/>
        </w:rPr>
        <w:t>python</w:t>
      </w:r>
      <w:r>
        <w:rPr>
          <w:rStyle w:val="NormalTok"/>
        </w:rPr>
        <w:t xml:space="preserve"> manage.py migrate</w:t>
      </w:r>
      <w:r>
        <w:rPr/>
        <w:br/>
      </w:r>
      <w:r>
        <w:rPr>
          <w:rStyle w:val="ExtensionTok"/>
        </w:rPr>
        <w:t>python</w:t>
      </w:r>
      <w:r>
        <w:rPr>
          <w:rStyle w:val="NormalTok"/>
        </w:rPr>
        <w:t xml:space="preserve"> manage.py collectstatic </w:t>
      </w:r>
      <w:r>
        <w:rPr>
          <w:rStyle w:val="AttributeTok"/>
        </w:rPr>
        <w:t>--noinput</w:t>
      </w:r>
      <w:r>
        <w:rPr/>
        <w:br/>
      </w:r>
      <w:r>
        <w:rPr>
          <w:rStyle w:val="ExtensionTok"/>
        </w:rPr>
        <w:t>python</w:t>
      </w:r>
      <w:r>
        <w:rPr>
          <w:rStyle w:val="NormalTok"/>
        </w:rPr>
        <w:t xml:space="preserve"> manage.py createsuperuser</w:t>
      </w:r>
      <w:r>
        <w:rPr/>
        <w:br/>
      </w:r>
      <w:r>
        <w:rPr>
          <w:rStyle w:val="ExtensionTok"/>
        </w:rPr>
        <w:t>python</w:t>
      </w:r>
      <w:r>
        <w:rPr>
          <w:rStyle w:val="NormalTok"/>
        </w:rPr>
        <w:t xml:space="preserve"> manage.py check </w:t>
      </w:r>
      <w:r>
        <w:rPr>
          <w:rStyle w:val="AttributeTok"/>
        </w:rPr>
        <w:t>--deploy</w:t>
      </w:r>
      <w:bookmarkEnd w:id="378"/>
    </w:p>
    <w:p>
      <w:pPr>
        <w:pStyle w:val="Heading3"/>
        <w:rPr/>
      </w:pPr>
      <w:bookmarkStart w:id="379" w:name="Xefcb6bcddb8f013cd2a97ede1083f75b3a18175"/>
      <w:r>
        <w:rPr/>
        <w:t>4. Service Gunicorn (démarrage automatique de l’API)</w:t>
      </w:r>
    </w:p>
    <w:p>
      <w:pPr>
        <w:pStyle w:val="FirstParagraph"/>
        <w:rPr/>
      </w:pPr>
      <w:r>
        <w:rPr/>
        <w:t xml:space="preserve">Créez </w:t>
      </w:r>
      <w:r>
        <w:rPr>
          <w:rStyle w:val="VerbatimChar"/>
        </w:rPr>
        <w:t>/etc/systemd/system/smartcampus-api.service</w:t>
      </w:r>
      <w:r>
        <w:rPr/>
        <w:t xml:space="preserve"> :</w:t>
      </w:r>
    </w:p>
    <w:p>
      <w:pPr>
        <w:pStyle w:val="SourceCode"/>
        <w:rPr/>
      </w:pPr>
      <w:r>
        <w:rPr>
          <w:rStyle w:val="KeywordTok"/>
        </w:rPr>
        <w:t>[Unit]</w:t>
      </w:r>
      <w:r>
        <w:rPr/>
        <w:br/>
      </w:r>
      <w:r>
        <w:rPr>
          <w:rStyle w:val="DataTypeTok"/>
        </w:rPr>
        <w:t>Description</w:t>
      </w:r>
      <w:r>
        <w:rPr>
          <w:rStyle w:val="OtherTok"/>
        </w:rPr>
        <w:t>=</w:t>
      </w:r>
      <w:r>
        <w:rPr>
          <w:rStyle w:val="StringTok"/>
        </w:rPr>
        <w:t>SmartCampus API (Django/Gunicorn)</w:t>
      </w:r>
      <w:r>
        <w:rPr/>
        <w:br/>
      </w:r>
      <w:r>
        <w:rPr>
          <w:rStyle w:val="DataTypeTok"/>
        </w:rPr>
        <w:t>After</w:t>
      </w:r>
      <w:r>
        <w:rPr>
          <w:rStyle w:val="OtherTok"/>
        </w:rPr>
        <w:t>=</w:t>
      </w:r>
      <w:r>
        <w:rPr>
          <w:rStyle w:val="StringTok"/>
        </w:rPr>
        <w:t>network.target postgresql.service</w:t>
      </w:r>
      <w:r>
        <w:rPr/>
        <w:br/>
        <w:br/>
      </w:r>
      <w:r>
        <w:rPr>
          <w:rStyle w:val="KeywordTok"/>
        </w:rPr>
        <w:t>[Service]</w:t>
      </w:r>
      <w:r>
        <w:rPr/>
        <w:br/>
      </w:r>
      <w:r>
        <w:rPr>
          <w:rStyle w:val="DataTypeTok"/>
        </w:rPr>
        <w:t>User</w:t>
      </w:r>
      <w:r>
        <w:rPr>
          <w:rStyle w:val="OtherTok"/>
        </w:rPr>
        <w:t>=</w:t>
      </w:r>
      <w:r>
        <w:rPr>
          <w:rStyle w:val="StringTok"/>
        </w:rPr>
        <w:t>bitnami</w:t>
      </w:r>
      <w:r>
        <w:rPr/>
        <w:br/>
      </w:r>
      <w:r>
        <w:rPr>
          <w:rStyle w:val="DataTypeTok"/>
        </w:rPr>
        <w:t>WorkingDirectory</w:t>
      </w:r>
      <w:r>
        <w:rPr>
          <w:rStyle w:val="OtherTok"/>
        </w:rPr>
        <w:t>=</w:t>
      </w:r>
      <w:r>
        <w:rPr>
          <w:rStyle w:val="StringTok"/>
        </w:rPr>
        <w:t>/home/bitnami/istc-projects/back-istc</w:t>
      </w:r>
      <w:r>
        <w:rPr/>
        <w:br/>
      </w:r>
      <w:r>
        <w:rPr>
          <w:rStyle w:val="DataTypeTok"/>
        </w:rPr>
        <w:t>EnvironmentFile</w:t>
      </w:r>
      <w:r>
        <w:rPr>
          <w:rStyle w:val="OtherTok"/>
        </w:rPr>
        <w:t>=</w:t>
      </w:r>
      <w:r>
        <w:rPr>
          <w:rStyle w:val="StringTok"/>
        </w:rPr>
        <w:t>/home/bitnami/istc-projects/back-istc/.env</w:t>
      </w:r>
      <w:r>
        <w:rPr/>
        <w:br/>
      </w:r>
      <w:r>
        <w:rPr>
          <w:rStyle w:val="DataTypeTok"/>
        </w:rPr>
        <w:t>ExecStart</w:t>
      </w:r>
      <w:r>
        <w:rPr>
          <w:rStyle w:val="OtherTok"/>
        </w:rPr>
        <w:t>=</w:t>
      </w:r>
      <w:r>
        <w:rPr>
          <w:rStyle w:val="StringTok"/>
        </w:rPr>
        <w:t>/home/bitnami/istc-projects/back-istc/venv/bin/gunicorn smart_back.wsgi:application \</w:t>
      </w:r>
      <w:r>
        <w:rPr/>
        <w:br/>
      </w:r>
      <w:r>
        <w:rPr>
          <w:rStyle w:val="DataTypeTok"/>
        </w:rPr>
        <w:t xml:space="preserve">          --bind 127.0.0.1:8000 --workers 3 --timeout 120</w:t>
      </w:r>
      <w:r>
        <w:rPr/>
        <w:br/>
      </w:r>
      <w:r>
        <w:rPr>
          <w:rStyle w:val="DataTypeTok"/>
        </w:rPr>
        <w:t>Restart</w:t>
      </w:r>
      <w:r>
        <w:rPr>
          <w:rStyle w:val="OtherTok"/>
        </w:rPr>
        <w:t>=</w:t>
      </w:r>
      <w:r>
        <w:rPr>
          <w:rStyle w:val="StringTok"/>
        </w:rPr>
        <w:t>always</w:t>
      </w:r>
      <w:r>
        <w:rPr/>
        <w:br/>
        <w:br/>
      </w:r>
      <w:r>
        <w:rPr>
          <w:rStyle w:val="KeywordTok"/>
        </w:rPr>
        <w:t>[Install]</w:t>
      </w:r>
      <w:r>
        <w:rPr/>
        <w:br/>
      </w:r>
      <w:r>
        <w:rPr>
          <w:rStyle w:val="DataTypeTok"/>
        </w:rPr>
        <w:t>WantedBy</w:t>
      </w:r>
      <w:r>
        <w:rPr>
          <w:rStyle w:val="OtherTok"/>
        </w:rPr>
        <w:t>=</w:t>
      </w:r>
      <w:r>
        <w:rPr>
          <w:rStyle w:val="StringTok"/>
        </w:rPr>
        <w:t>multi-user.target</w:t>
      </w:r>
    </w:p>
    <w:p>
      <w:pPr>
        <w:pStyle w:val="SourceCode"/>
        <w:rPr/>
      </w:pPr>
      <w:r>
        <w:rPr>
          <w:rStyle w:val="FunctionTok"/>
        </w:rPr>
        <w:t>sudo</w:t>
      </w:r>
      <w:r>
        <w:rPr>
          <w:rStyle w:val="NormalTok"/>
        </w:rPr>
        <w:t xml:space="preserve"> systemctl daemon-reload</w:t>
      </w:r>
      <w:r>
        <w:rPr/>
        <w:br/>
      </w:r>
      <w:r>
        <w:rPr>
          <w:rStyle w:val="FunctionTok"/>
        </w:rPr>
        <w:t>sudo</w:t>
      </w:r>
      <w:r>
        <w:rPr>
          <w:rStyle w:val="NormalTok"/>
        </w:rPr>
        <w:t xml:space="preserve"> systemctl enable </w:t>
      </w:r>
      <w:r>
        <w:rPr>
          <w:rStyle w:val="AttributeTok"/>
        </w:rPr>
        <w:t>--now</w:t>
      </w:r>
      <w:r>
        <w:rPr>
          <w:rStyle w:val="NormalTok"/>
        </w:rPr>
        <w:t xml:space="preserve"> smartcampus-api</w:t>
      </w:r>
      <w:r>
        <w:rPr/>
        <w:br/>
      </w:r>
      <w:r>
        <w:rPr>
          <w:rStyle w:val="FunctionTok"/>
        </w:rPr>
        <w:t>sudo</w:t>
      </w:r>
      <w:r>
        <w:rPr>
          <w:rStyle w:val="NormalTok"/>
        </w:rPr>
        <w:t xml:space="preserve"> systemctl status smartcampus-api    </w:t>
      </w:r>
      <w:r>
        <w:rPr>
          <w:rStyle w:val="CommentTok"/>
        </w:rPr>
        <w:t># doit afficher « active (running) »</w:t>
      </w:r>
      <w:bookmarkEnd w:id="379"/>
    </w:p>
    <w:p>
      <w:pPr>
        <w:pStyle w:val="Heading3"/>
        <w:rPr/>
      </w:pPr>
      <w:bookmarkStart w:id="380" w:name="frontend-interface"/>
      <w:r>
        <w:rPr/>
        <w:t>5. Frontend (interface)</w:t>
      </w:r>
    </w:p>
    <w:p>
      <w:pPr>
        <w:pStyle w:val="SourceCode"/>
        <w:rPr/>
      </w:pPr>
      <w:r>
        <w:rPr>
          <w:rStyle w:val="BuiltInTok"/>
        </w:rPr>
        <w:t>cd</w:t>
      </w:r>
      <w:r>
        <w:rPr>
          <w:rStyle w:val="NormalTok"/>
        </w:rPr>
        <w:t xml:space="preserve"> /home/bitnami/istc-projects/frontend</w:t>
      </w:r>
      <w:r>
        <w:rPr/>
        <w:br/>
      </w:r>
      <w:r>
        <w:rPr>
          <w:rStyle w:val="FunctionTok"/>
        </w:rPr>
        <w:t>cp</w:t>
      </w:r>
      <w:r>
        <w:rPr>
          <w:rStyle w:val="NormalTok"/>
        </w:rPr>
        <w:t xml:space="preserve"> .env.example .env.local</w:t>
      </w:r>
      <w:r>
        <w:rPr/>
        <w:br/>
      </w:r>
      <w:r>
        <w:rPr>
          <w:rStyle w:val="FunctionTok"/>
        </w:rPr>
        <w:t>nano</w:t>
      </w:r>
      <w:r>
        <w:rPr>
          <w:rStyle w:val="NormalTok"/>
        </w:rPr>
        <w:t xml:space="preserve"> .env.local</w:t>
      </w:r>
    </w:p>
    <w:p>
      <w:pPr>
        <w:pStyle w:val="SourceCode"/>
        <w:rPr/>
      </w:pPr>
      <w:r>
        <w:rPr>
          <w:rStyle w:val="DataTypeTok"/>
        </w:rPr>
        <w:t>NEXT_PUBLIC_API_BASE_URL</w:t>
      </w:r>
      <w:r>
        <w:rPr>
          <w:rStyle w:val="OtherTok"/>
        </w:rPr>
        <w:t>=</w:t>
      </w:r>
      <w:r>
        <w:rPr>
          <w:rStyle w:val="StringTok"/>
        </w:rPr>
        <w:t>https://api.smartcampus.exemple.cm</w:t>
      </w:r>
      <w:r>
        <w:rPr/>
        <w:br/>
      </w:r>
      <w:r>
        <w:rPr>
          <w:rStyle w:val="DataTypeTok"/>
        </w:rPr>
        <w:t>NEXT_PUBLIC_RECAPTCHA_SITE_KEY</w:t>
      </w:r>
      <w:r>
        <w:rPr>
          <w:rStyle w:val="OtherTok"/>
        </w:rPr>
        <w:t>=</w:t>
      </w:r>
      <w:r>
        <w:rPr>
          <w:rStyle w:val="StringTok"/>
        </w:rPr>
        <w:t>&lt;clé du site reCAPTCHA, ou vide&gt;</w:t>
      </w:r>
    </w:p>
    <w:p>
      <w:pPr>
        <w:pStyle w:val="SourceCode"/>
        <w:rPr/>
      </w:pPr>
      <w:r>
        <w:rPr>
          <w:rStyle w:val="ExtensionTok"/>
        </w:rPr>
        <w:t>npm</w:t>
      </w:r>
      <w:r>
        <w:rPr>
          <w:rStyle w:val="NormalTok"/>
        </w:rPr>
        <w:t xml:space="preserve"> ci</w:t>
      </w:r>
      <w:r>
        <w:rPr/>
        <w:br/>
      </w:r>
      <w:r>
        <w:rPr>
          <w:rStyle w:val="ExtensionTok"/>
        </w:rPr>
        <w:t>npm</w:t>
      </w:r>
      <w:r>
        <w:rPr>
          <w:rStyle w:val="NormalTok"/>
        </w:rPr>
        <w:t xml:space="preserve"> run build</w:t>
      </w:r>
    </w:p>
    <w:p>
      <w:pPr>
        <w:pStyle w:val="EncadreAttention"/>
        <w:rPr/>
      </w:pPr>
      <w:r>
        <w:rPr>
          <w:b/>
          <w:bCs/>
        </w:rPr>
        <w:t>Reconstruire après chaque changement de .env.local</w:t>
      </w:r>
    </w:p>
    <w:p>
      <w:pPr>
        <w:pStyle w:val="EncadreAttention"/>
        <w:rPr/>
      </w:pPr>
      <w:r>
        <w:rPr/>
        <w:t xml:space="preserve">Les variables </w:t>
      </w:r>
      <w:r>
        <w:rPr>
          <w:rStyle w:val="VerbatimChar"/>
        </w:rPr>
        <w:t>NEXT_PUBLIC_*</w:t>
      </w:r>
      <w:r>
        <w:rPr/>
        <w:t xml:space="preserve"> sont intégrées au moment du </w:t>
      </w:r>
      <w:r>
        <w:rPr>
          <w:rStyle w:val="VerbatimChar"/>
        </w:rPr>
        <w:t>npm run build</w:t>
      </w:r>
      <w:r>
        <w:rPr/>
        <w:t>.</w:t>
      </w:r>
    </w:p>
    <w:p>
      <w:pPr>
        <w:pStyle w:val="Normal"/>
        <w:spacing w:before="0" w:after="60"/>
        <w:rPr>
          <w:sz w:val="8"/>
        </w:rPr>
      </w:pPr>
      <w:r>
        <w:rPr>
          <w:sz w:val="8"/>
        </w:rPr>
      </w:r>
    </w:p>
    <w:p>
      <w:pPr>
        <w:pStyle w:val="BodyText"/>
        <w:rPr/>
      </w:pPr>
      <w:r>
        <w:rPr/>
        <w:t xml:space="preserve">Service </w:t>
      </w:r>
      <w:r>
        <w:rPr>
          <w:rStyle w:val="VerbatimChar"/>
        </w:rPr>
        <w:t>/etc/systemd/system/smartcampus-web.service</w:t>
      </w:r>
      <w:r>
        <w:rPr/>
        <w:t xml:space="preserve"> :</w:t>
      </w:r>
    </w:p>
    <w:p>
      <w:pPr>
        <w:pStyle w:val="SourceCode"/>
        <w:rPr/>
      </w:pPr>
      <w:r>
        <w:rPr>
          <w:rStyle w:val="KeywordTok"/>
        </w:rPr>
        <w:t>[Unit]</w:t>
      </w:r>
      <w:r>
        <w:rPr/>
        <w:br/>
      </w:r>
      <w:r>
        <w:rPr>
          <w:rStyle w:val="DataTypeTok"/>
        </w:rPr>
        <w:t>Description</w:t>
      </w:r>
      <w:r>
        <w:rPr>
          <w:rStyle w:val="OtherTok"/>
        </w:rPr>
        <w:t>=</w:t>
      </w:r>
      <w:r>
        <w:rPr>
          <w:rStyle w:val="StringTok"/>
        </w:rPr>
        <w:t>SmartCampus Web (Next.js)</w:t>
      </w:r>
      <w:r>
        <w:rPr/>
        <w:br/>
      </w:r>
      <w:r>
        <w:rPr>
          <w:rStyle w:val="DataTypeTok"/>
        </w:rPr>
        <w:t>After</w:t>
      </w:r>
      <w:r>
        <w:rPr>
          <w:rStyle w:val="OtherTok"/>
        </w:rPr>
        <w:t>=</w:t>
      </w:r>
      <w:r>
        <w:rPr>
          <w:rStyle w:val="StringTok"/>
        </w:rPr>
        <w:t>network.target</w:t>
      </w:r>
      <w:r>
        <w:rPr/>
        <w:br/>
        <w:br/>
      </w:r>
      <w:r>
        <w:rPr>
          <w:rStyle w:val="KeywordTok"/>
        </w:rPr>
        <w:t>[Service]</w:t>
      </w:r>
      <w:r>
        <w:rPr/>
        <w:br/>
      </w:r>
      <w:r>
        <w:rPr>
          <w:rStyle w:val="DataTypeTok"/>
        </w:rPr>
        <w:t>User</w:t>
      </w:r>
      <w:r>
        <w:rPr>
          <w:rStyle w:val="OtherTok"/>
        </w:rPr>
        <w:t>=</w:t>
      </w:r>
      <w:r>
        <w:rPr>
          <w:rStyle w:val="StringTok"/>
        </w:rPr>
        <w:t>bitnami</w:t>
      </w:r>
      <w:r>
        <w:rPr/>
        <w:br/>
      </w:r>
      <w:r>
        <w:rPr>
          <w:rStyle w:val="DataTypeTok"/>
        </w:rPr>
        <w:t>WorkingDirectory</w:t>
      </w:r>
      <w:r>
        <w:rPr>
          <w:rStyle w:val="OtherTok"/>
        </w:rPr>
        <w:t>=</w:t>
      </w:r>
      <w:r>
        <w:rPr>
          <w:rStyle w:val="StringTok"/>
        </w:rPr>
        <w:t>/home/bitnami/istc-projects/frontend</w:t>
      </w:r>
      <w:r>
        <w:rPr/>
        <w:br/>
      </w:r>
      <w:r>
        <w:rPr>
          <w:rStyle w:val="DataTypeTok"/>
        </w:rPr>
        <w:t>Environment</w:t>
      </w:r>
      <w:r>
        <w:rPr>
          <w:rStyle w:val="OtherTok"/>
        </w:rPr>
        <w:t>=</w:t>
      </w:r>
      <w:r>
        <w:rPr>
          <w:rStyle w:val="StringTok"/>
        </w:rPr>
        <w:t>NODE_ENV=production PORT=3000</w:t>
      </w:r>
      <w:r>
        <w:rPr/>
        <w:br/>
      </w:r>
      <w:r>
        <w:rPr>
          <w:rStyle w:val="DataTypeTok"/>
        </w:rPr>
        <w:t>ExecStart</w:t>
      </w:r>
      <w:r>
        <w:rPr>
          <w:rStyle w:val="OtherTok"/>
        </w:rPr>
        <w:t>=</w:t>
      </w:r>
      <w:r>
        <w:rPr>
          <w:rStyle w:val="StringTok"/>
        </w:rPr>
        <w:t>/usr/bin/npm start</w:t>
      </w:r>
      <w:r>
        <w:rPr/>
        <w:br/>
      </w:r>
      <w:r>
        <w:rPr>
          <w:rStyle w:val="DataTypeTok"/>
        </w:rPr>
        <w:t>Restart</w:t>
      </w:r>
      <w:r>
        <w:rPr>
          <w:rStyle w:val="OtherTok"/>
        </w:rPr>
        <w:t>=</w:t>
      </w:r>
      <w:r>
        <w:rPr>
          <w:rStyle w:val="StringTok"/>
        </w:rPr>
        <w:t>always</w:t>
      </w:r>
      <w:r>
        <w:rPr/>
        <w:br/>
        <w:br/>
      </w:r>
      <w:r>
        <w:rPr>
          <w:rStyle w:val="KeywordTok"/>
        </w:rPr>
        <w:t>[Install]</w:t>
      </w:r>
      <w:r>
        <w:rPr/>
        <w:br/>
      </w:r>
      <w:r>
        <w:rPr>
          <w:rStyle w:val="DataTypeTok"/>
        </w:rPr>
        <w:t>WantedBy</w:t>
      </w:r>
      <w:r>
        <w:rPr>
          <w:rStyle w:val="OtherTok"/>
        </w:rPr>
        <w:t>=</w:t>
      </w:r>
      <w:r>
        <w:rPr>
          <w:rStyle w:val="StringTok"/>
        </w:rPr>
        <w:t>multi-user.target</w:t>
      </w:r>
    </w:p>
    <w:p>
      <w:pPr>
        <w:pStyle w:val="SourceCode"/>
        <w:rPr/>
      </w:pPr>
      <w:r>
        <w:rPr>
          <w:rStyle w:val="FunctionTok"/>
        </w:rPr>
        <w:t>sudo</w:t>
      </w:r>
      <w:r>
        <w:rPr>
          <w:rStyle w:val="NormalTok"/>
        </w:rPr>
        <w:t xml:space="preserve"> systemctl daemon-reload</w:t>
      </w:r>
      <w:r>
        <w:rPr/>
        <w:br/>
      </w:r>
      <w:r>
        <w:rPr>
          <w:rStyle w:val="FunctionTok"/>
        </w:rPr>
        <w:t>sudo</w:t>
      </w:r>
      <w:r>
        <w:rPr>
          <w:rStyle w:val="NormalTok"/>
        </w:rPr>
        <w:t xml:space="preserve"> systemctl enable </w:t>
      </w:r>
      <w:r>
        <w:rPr>
          <w:rStyle w:val="AttributeTok"/>
        </w:rPr>
        <w:t>--now</w:t>
      </w:r>
      <w:r>
        <w:rPr>
          <w:rStyle w:val="NormalTok"/>
        </w:rPr>
        <w:t xml:space="preserve"> smartcampus-web</w:t>
      </w:r>
      <w:bookmarkEnd w:id="380"/>
    </w:p>
    <w:p>
      <w:pPr>
        <w:pStyle w:val="Heading3"/>
        <w:rPr/>
      </w:pPr>
      <w:bookmarkStart w:id="381" w:name="nginx-adresses-publiques-et-https"/>
      <w:r>
        <w:rPr/>
        <w:t>6. Nginx (adresses publiques et HTTPS)</w:t>
      </w:r>
    </w:p>
    <w:p>
      <w:pPr>
        <w:pStyle w:val="FirstParagraph"/>
        <w:rPr/>
      </w:pPr>
      <w:r>
        <w:rPr/>
        <w:t xml:space="preserve">Créez </w:t>
      </w:r>
      <w:r>
        <w:rPr>
          <w:rStyle w:val="VerbatimChar"/>
        </w:rPr>
        <w:t>/etc/nginx/sites-available/smartcampus</w:t>
      </w:r>
      <w:r>
        <w:rPr/>
        <w:t xml:space="preserve"> :</w:t>
      </w:r>
    </w:p>
    <w:p>
      <w:pPr>
        <w:pStyle w:val="SourceCode"/>
        <w:rPr/>
      </w:pPr>
      <w:r>
        <w:rPr>
          <w:rStyle w:val="VerbatimChar"/>
        </w:rPr>
        <w:t># API</w:t>
      </w:r>
      <w:r>
        <w:rPr/>
        <w:br/>
      </w:r>
      <w:r>
        <w:rPr>
          <w:rStyle w:val="VerbatimChar"/>
        </w:rPr>
        <w:t>server {</w:t>
      </w:r>
      <w:r>
        <w:rPr/>
        <w:br/>
      </w:r>
      <w:r>
        <w:rPr>
          <w:rStyle w:val="VerbatimChar"/>
        </w:rPr>
        <w:t xml:space="preserve">    server_name api.smartcampus.exemple.cm;</w:t>
      </w:r>
      <w:r>
        <w:rPr/>
        <w:br/>
      </w:r>
      <w:r>
        <w:rPr>
          <w:rStyle w:val="VerbatimChar"/>
        </w:rPr>
        <w:t xml:space="preserve">    client_max_body_size 25M;   # taille max des fichiers déposés</w:t>
      </w:r>
      <w:r>
        <w:rPr/>
        <w:br/>
        <w:br/>
      </w:r>
      <w:r>
        <w:rPr>
          <w:rStyle w:val="VerbatimChar"/>
        </w:rPr>
        <w:t xml:space="preserve">    location /static/ { alias /home/bitnami/istc-projects/back-istc/staticfiles/; }</w:t>
      </w:r>
      <w:r>
        <w:rPr/>
        <w:br/>
      </w:r>
      <w:r>
        <w:rPr>
          <w:rStyle w:val="VerbatimChar"/>
        </w:rPr>
        <w:t xml:space="preserve">    location /media/  { alias /home/bitnami/istc-projects/back-istc/media/; }</w:t>
      </w:r>
      <w:r>
        <w:rPr/>
        <w:br/>
        <w:br/>
      </w:r>
      <w:r>
        <w:rPr>
          <w:rStyle w:val="VerbatimChar"/>
        </w:rPr>
        <w:t xml:space="preserve">    location / {</w:t>
      </w:r>
      <w:r>
        <w:rPr/>
        <w:br/>
      </w:r>
      <w:r>
        <w:rPr>
          <w:rStyle w:val="VerbatimChar"/>
        </w:rPr>
        <w:t xml:space="preserve">        proxy_pass http://127.0.0.1:8000;</w:t>
      </w:r>
      <w:r>
        <w:rPr/>
        <w:br/>
      </w:r>
      <w:r>
        <w:rPr>
          <w:rStyle w:val="VerbatimChar"/>
        </w:rPr>
        <w:t xml:space="preserve">        proxy_set_header Host $host;</w:t>
      </w:r>
      <w:r>
        <w:rPr/>
        <w:br/>
      </w:r>
      <w:r>
        <w:rPr>
          <w:rStyle w:val="VerbatimChar"/>
        </w:rPr>
        <w:t xml:space="preserve">        proxy_set_header X-Forwarded-For $proxy_add_x_forwarded_for;</w:t>
      </w:r>
      <w:r>
        <w:rPr/>
        <w:br/>
      </w:r>
      <w:r>
        <w:rPr>
          <w:rStyle w:val="VerbatimChar"/>
        </w:rPr>
        <w:t xml:space="preserve">        proxy_set_header X-Forwarded-Proto $scheme;</w:t>
      </w:r>
      <w:r>
        <w:rPr/>
        <w:br/>
      </w:r>
      <w:r>
        <w:rPr>
          <w:rStyle w:val="VerbatimChar"/>
        </w:rPr>
        <w:t xml:space="preserve">    }</w:t>
      </w:r>
      <w:r>
        <w:rPr/>
        <w:br/>
      </w:r>
      <w:r>
        <w:rPr>
          <w:rStyle w:val="VerbatimChar"/>
        </w:rPr>
        <w:t>}</w:t>
      </w:r>
      <w:r>
        <w:rPr/>
        <w:br/>
        <w:br/>
      </w:r>
      <w:r>
        <w:rPr>
          <w:rStyle w:val="VerbatimChar"/>
        </w:rPr>
        <w:t># Interface</w:t>
      </w:r>
      <w:r>
        <w:rPr/>
        <w:br/>
      </w:r>
      <w:r>
        <w:rPr>
          <w:rStyle w:val="VerbatimChar"/>
        </w:rPr>
        <w:t>server {</w:t>
      </w:r>
      <w:r>
        <w:rPr/>
        <w:br/>
      </w:r>
      <w:r>
        <w:rPr>
          <w:rStyle w:val="VerbatimChar"/>
        </w:rPr>
        <w:t xml:space="preserve">    server_name smartcampus.exemple.cm;</w:t>
      </w:r>
      <w:r>
        <w:rPr/>
        <w:br/>
      </w:r>
      <w:r>
        <w:rPr>
          <w:rStyle w:val="VerbatimChar"/>
        </w:rPr>
        <w:t xml:space="preserve">    location / {</w:t>
      </w:r>
      <w:r>
        <w:rPr/>
        <w:br/>
      </w:r>
      <w:r>
        <w:rPr>
          <w:rStyle w:val="VerbatimChar"/>
        </w:rPr>
        <w:t xml:space="preserve">        proxy_pass http://127.0.0.1:3000;</w:t>
      </w:r>
      <w:r>
        <w:rPr/>
        <w:br/>
      </w:r>
      <w:r>
        <w:rPr>
          <w:rStyle w:val="VerbatimChar"/>
        </w:rPr>
        <w:t xml:space="preserve">        proxy_set_header Host $host;</w:t>
      </w:r>
      <w:r>
        <w:rPr/>
        <w:br/>
      </w:r>
      <w:r>
        <w:rPr>
          <w:rStyle w:val="VerbatimChar"/>
        </w:rPr>
        <w:t xml:space="preserve">        proxy_set_header X-Forwarded-For $proxy_add_x_forwarded_for;</w:t>
      </w:r>
      <w:r>
        <w:rPr/>
        <w:br/>
      </w:r>
      <w:r>
        <w:rPr>
          <w:rStyle w:val="VerbatimChar"/>
        </w:rPr>
        <w:t xml:space="preserve">        proxy_set_header X-Forwarded-Proto $scheme;</w:t>
      </w:r>
      <w:r>
        <w:rPr/>
        <w:br/>
      </w:r>
      <w:r>
        <w:rPr>
          <w:rStyle w:val="VerbatimChar"/>
        </w:rPr>
        <w:t xml:space="preserve">    }</w:t>
      </w:r>
      <w:r>
        <w:rPr/>
        <w:br/>
      </w:r>
      <w:r>
        <w:rPr>
          <w:rStyle w:val="VerbatimChar"/>
        </w:rPr>
        <w:t>}</w:t>
      </w:r>
    </w:p>
    <w:p>
      <w:pPr>
        <w:pStyle w:val="EncadreAttention"/>
        <w:rPr/>
      </w:pPr>
      <w:r>
        <w:rPr>
          <w:b/>
          <w:bCs/>
        </w:rPr>
        <w:t>Fichiers déposés (</w:t>
      </w:r>
      <w:r>
        <w:rPr>
          <w:rStyle w:val="VerbatimChar"/>
          <w:b/>
          <w:bCs/>
        </w:rPr>
        <w:t>/media/</w:t>
      </w:r>
      <w:r>
        <w:rPr>
          <w:b/>
          <w:bCs/>
        </w:rPr>
        <w:t>)</w:t>
      </w:r>
    </w:p>
    <w:p>
      <w:pPr>
        <w:pStyle w:val="EncadreAttention"/>
        <w:rPr/>
      </w:pPr>
      <w:r>
        <w:rPr/>
        <w:t xml:space="preserve">Avec </w:t>
      </w:r>
      <w:r>
        <w:rPr>
          <w:rStyle w:val="VerbatimChar"/>
        </w:rPr>
        <w:t>DEBUG=False</w:t>
      </w:r>
      <w:r>
        <w:rPr/>
        <w:t xml:space="preserve">, Django ne sert plus les photos, justificatifs, documents de cours, etc. C’est le bloc </w:t>
      </w:r>
      <w:r>
        <w:rPr>
          <w:rStyle w:val="VerbatimChar"/>
        </w:rPr>
        <w:t>location /media/</w:t>
      </w:r>
      <w:r>
        <w:rPr/>
        <w:t xml:space="preserve"> de Nginx qui les sert : sans lui, ces fichiers renvoient une erreur 404.</w:t>
      </w:r>
    </w:p>
    <w:p>
      <w:pPr>
        <w:pStyle w:val="Normal"/>
        <w:spacing w:before="0" w:after="60"/>
        <w:rPr>
          <w:sz w:val="8"/>
        </w:rPr>
      </w:pPr>
      <w:r>
        <w:rPr>
          <w:sz w:val="8"/>
        </w:rPr>
      </w:r>
    </w:p>
    <w:p>
      <w:pPr>
        <w:pStyle w:val="BodyText"/>
        <w:rPr/>
      </w:pPr>
      <w:r>
        <w:rPr/>
        <w:t>Activez et ajoutez HTTPS :</w:t>
      </w:r>
    </w:p>
    <w:p>
      <w:pPr>
        <w:pStyle w:val="SourceCode"/>
        <w:rPr/>
      </w:pPr>
      <w:r>
        <w:rPr>
          <w:rStyle w:val="FunctionTok"/>
        </w:rPr>
        <w:t>sudo</w:t>
      </w:r>
      <w:r>
        <w:rPr>
          <w:rStyle w:val="NormalTok"/>
        </w:rPr>
        <w:t xml:space="preserve"> ln </w:t>
      </w:r>
      <w:r>
        <w:rPr>
          <w:rStyle w:val="AttributeTok"/>
        </w:rPr>
        <w:t>-s</w:t>
      </w:r>
      <w:r>
        <w:rPr>
          <w:rStyle w:val="NormalTok"/>
        </w:rPr>
        <w:t xml:space="preserve"> /etc/nginx/sites-available/smartcampus /etc/nginx/sites-enabled/</w:t>
      </w:r>
      <w:r>
        <w:rPr/>
        <w:br/>
      </w:r>
      <w:r>
        <w:rPr>
          <w:rStyle w:val="FunctionTok"/>
        </w:rPr>
        <w:t>sudo</w:t>
      </w:r>
      <w:r>
        <w:rPr>
          <w:rStyle w:val="NormalTok"/>
        </w:rPr>
        <w:t xml:space="preserve"> nginx </w:t>
      </w:r>
      <w:r>
        <w:rPr>
          <w:rStyle w:val="AttributeTok"/>
        </w:rPr>
        <w:t>-t</w:t>
      </w:r>
      <w:r>
        <w:rPr>
          <w:rStyle w:val="NormalTok"/>
        </w:rPr>
        <w:t xml:space="preserve"> </w:t>
      </w:r>
      <w:r>
        <w:rPr>
          <w:rStyle w:val="KeywordTok"/>
        </w:rPr>
        <w:t>&amp;&amp;</w:t>
      </w:r>
      <w:r>
        <w:rPr>
          <w:rStyle w:val="NormalTok"/>
        </w:rPr>
        <w:t xml:space="preserve"> </w:t>
      </w:r>
      <w:r>
        <w:rPr>
          <w:rStyle w:val="FunctionTok"/>
        </w:rPr>
        <w:t>sudo</w:t>
      </w:r>
      <w:r>
        <w:rPr>
          <w:rStyle w:val="NormalTok"/>
        </w:rPr>
        <w:t xml:space="preserve"> systemctl reload nginx</w:t>
      </w:r>
      <w:r>
        <w:rPr/>
        <w:br/>
      </w:r>
      <w:r>
        <w:rPr>
          <w:rStyle w:val="FunctionTok"/>
        </w:rPr>
        <w:t>sudo</w:t>
      </w:r>
      <w:r>
        <w:rPr>
          <w:rStyle w:val="NormalTok"/>
        </w:rPr>
        <w:t xml:space="preserve"> apt install </w:t>
      </w:r>
      <w:r>
        <w:rPr>
          <w:rStyle w:val="AttributeTok"/>
        </w:rPr>
        <w:t>-y</w:t>
      </w:r>
      <w:r>
        <w:rPr>
          <w:rStyle w:val="NormalTok"/>
        </w:rPr>
        <w:t xml:space="preserve"> certbot python3-certbot-nginx</w:t>
      </w:r>
      <w:r>
        <w:rPr/>
        <w:br/>
      </w:r>
      <w:r>
        <w:rPr>
          <w:rStyle w:val="FunctionTok"/>
        </w:rPr>
        <w:t>sudo</w:t>
      </w:r>
      <w:r>
        <w:rPr>
          <w:rStyle w:val="NormalTok"/>
        </w:rPr>
        <w:t xml:space="preserve"> certbot </w:t>
      </w:r>
      <w:r>
        <w:rPr>
          <w:rStyle w:val="AttributeTok"/>
        </w:rPr>
        <w:t>--nginx</w:t>
      </w:r>
      <w:r>
        <w:rPr>
          <w:rStyle w:val="NormalTok"/>
        </w:rPr>
        <w:t xml:space="preserve"> </w:t>
      </w:r>
      <w:r>
        <w:rPr>
          <w:rStyle w:val="AttributeTok"/>
        </w:rPr>
        <w:t>-d</w:t>
      </w:r>
      <w:r>
        <w:rPr>
          <w:rStyle w:val="NormalTok"/>
        </w:rPr>
        <w:t xml:space="preserve"> smartcampus.exemple.cm </w:t>
      </w:r>
      <w:r>
        <w:rPr>
          <w:rStyle w:val="AttributeTok"/>
        </w:rPr>
        <w:t>-d</w:t>
      </w:r>
      <w:r>
        <w:rPr>
          <w:rStyle w:val="NormalTok"/>
        </w:rPr>
        <w:t xml:space="preserve"> api.smartcampus.exemple.cm</w:t>
      </w:r>
    </w:p>
    <w:p>
      <w:pPr>
        <w:pStyle w:val="FirstParagraph"/>
        <w:rPr/>
      </w:pPr>
      <w:r>
        <w:rPr/>
        <w:t xml:space="preserve">Vérifiez que le dossier </w:t>
      </w:r>
      <w:r>
        <w:rPr>
          <w:rStyle w:val="VerbatimChar"/>
        </w:rPr>
        <w:t>media/</w:t>
      </w:r>
      <w:r>
        <w:rPr/>
        <w:t xml:space="preserve"> est lisible par Nginx (</w:t>
      </w:r>
      <w:r>
        <w:rPr>
          <w:rStyle w:val="VerbatimChar"/>
        </w:rPr>
        <w:t>sudo chmod o+x /home/bitnami /home/bitnami/istc-projects /home/bitnami/istc-projects/back-istc</w:t>
      </w:r>
      <w:r>
        <w:rPr/>
        <w:t>).</w:t>
      </w:r>
      <w:bookmarkEnd w:id="381"/>
    </w:p>
    <w:p>
      <w:pPr>
        <w:pStyle w:val="Heading3"/>
        <w:rPr/>
      </w:pPr>
      <w:bookmarkStart w:id="382" w:name="vérifications-finales"/>
      <w:r>
        <w:rPr/>
        <w:t>7. Vérifications finales</w:t>
      </w:r>
    </w:p>
    <w:p>
      <w:pPr>
        <w:pStyle w:val="Compact"/>
        <w:numPr>
          <w:ilvl w:val="0"/>
          <w:numId w:val="453"/>
        </w:numPr>
        <w:rPr/>
      </w:pPr>
      <w:r>
        <w:rPr/>
        <w:t xml:space="preserve">☐ </w:t>
      </w:r>
      <w:r>
        <w:rPr/>
        <w:t>https://api.smartcampus.exemple.cm/api/docs/ affiche la documentation de l’API.</w:t>
      </w:r>
    </w:p>
    <w:p>
      <w:pPr>
        <w:pStyle w:val="Compact"/>
        <w:numPr>
          <w:ilvl w:val="0"/>
          <w:numId w:val="454"/>
        </w:numPr>
        <w:rPr/>
      </w:pPr>
      <w:r>
        <w:rPr/>
        <w:t xml:space="preserve">☐ </w:t>
      </w:r>
      <w:r>
        <w:rPr/>
        <w:t>https://smartcampus.exemple.cm affiche la page de connexion.</w:t>
      </w:r>
    </w:p>
    <w:p>
      <w:pPr>
        <w:pStyle w:val="Compact"/>
        <w:numPr>
          <w:ilvl w:val="0"/>
          <w:numId w:val="455"/>
        </w:numPr>
        <w:rPr/>
      </w:pPr>
      <w:r>
        <w:rPr/>
        <w:t xml:space="preserve">☐ </w:t>
      </w:r>
      <w:r>
        <w:rPr/>
        <w:t>La connexion avec le super-administrateur fonctionne.</w:t>
      </w:r>
    </w:p>
    <w:p>
      <w:pPr>
        <w:pStyle w:val="Compact"/>
        <w:numPr>
          <w:ilvl w:val="0"/>
          <w:numId w:val="456"/>
        </w:numPr>
        <w:rPr/>
      </w:pPr>
      <w:r>
        <w:rPr/>
        <w:t xml:space="preserve">☐ </w:t>
      </w:r>
      <w:r>
        <w:rPr/>
        <w:t xml:space="preserve">Une photo déposée (logo dans </w:t>
      </w:r>
      <w:r>
        <w:rPr>
          <w:b/>
          <w:bCs/>
        </w:rPr>
        <w:t>Système</w:t>
      </w:r>
      <w:r>
        <w:rPr/>
        <w:t xml:space="preserve"> → </w:t>
      </w:r>
      <w:r>
        <w:rPr>
          <w:i/>
          <w:iCs/>
        </w:rPr>
        <w:t>Apparence &amp; École</w:t>
      </w:r>
      <w:r>
        <w:rPr/>
        <w:t>) s’affiche.</w:t>
      </w:r>
    </w:p>
    <w:p>
      <w:pPr>
        <w:pStyle w:val="Compact"/>
        <w:numPr>
          <w:ilvl w:val="0"/>
          <w:numId w:val="457"/>
        </w:numPr>
        <w:rPr/>
      </w:pPr>
      <w:r>
        <w:rPr/>
        <w:t xml:space="preserve">☐ </w:t>
      </w:r>
      <w:r>
        <w:rPr/>
        <w:t>La sauvegarde automatique est en place.</w:t>
      </w:r>
      <w:bookmarkEnd w:id="382"/>
    </w:p>
    <w:p>
      <w:pPr>
        <w:pStyle w:val="Heading3"/>
        <w:rPr/>
      </w:pPr>
      <w:bookmarkStart w:id="383" w:name="variante-frontend-sur-vercel"/>
      <w:r>
        <w:rPr/>
        <w:t>Variante : frontend sur Vercel</w:t>
      </w:r>
    </w:p>
    <w:p>
      <w:pPr>
        <w:pStyle w:val="Compact"/>
        <w:numPr>
          <w:ilvl w:val="0"/>
          <w:numId w:val="458"/>
        </w:numPr>
        <w:rPr/>
      </w:pPr>
      <w:r>
        <w:rPr/>
        <w:t xml:space="preserve">Importez le dépôt sur https://vercel.com, dossier racine </w:t>
      </w:r>
      <w:r>
        <w:rPr>
          <w:rStyle w:val="VerbatimChar"/>
        </w:rPr>
        <w:t>frontend</w:t>
      </w:r>
      <w:r>
        <w:rPr/>
        <w:t>.</w:t>
      </w:r>
    </w:p>
    <w:p>
      <w:pPr>
        <w:pStyle w:val="Compact"/>
        <w:numPr>
          <w:ilvl w:val="0"/>
          <w:numId w:val="459"/>
        </w:numPr>
        <w:rPr/>
      </w:pPr>
      <w:r>
        <w:rPr/>
        <w:t xml:space="preserve">Dans </w:t>
      </w:r>
      <w:r>
        <w:rPr>
          <w:i/>
          <w:iCs/>
        </w:rPr>
        <w:t>Settings → Environment Variables</w:t>
      </w:r>
      <w:r>
        <w:rPr/>
        <w:t xml:space="preserve">, ajoutez </w:t>
      </w:r>
      <w:r>
        <w:rPr>
          <w:rStyle w:val="VerbatimChar"/>
        </w:rPr>
        <w:t>NEXT_PUBLIC_API_BASE_URL</w:t>
      </w:r>
      <w:r>
        <w:rPr/>
        <w:t xml:space="preserve"> et </w:t>
      </w:r>
      <w:r>
        <w:rPr>
          <w:rStyle w:val="VerbatimChar"/>
        </w:rPr>
        <w:t>NEXT_PUBLIC_RECAPTCHA_SITE_KEY</w:t>
      </w:r>
      <w:r>
        <w:rPr/>
        <w:t>.</w:t>
      </w:r>
    </w:p>
    <w:p>
      <w:pPr>
        <w:pStyle w:val="Compact"/>
        <w:numPr>
          <w:ilvl w:val="0"/>
          <w:numId w:val="460"/>
        </w:numPr>
        <w:rPr/>
      </w:pPr>
      <w:r>
        <w:rPr/>
        <w:t xml:space="preserve">Ajoutez l’adresse Vercel (ex. </w:t>
      </w:r>
      <w:r>
        <w:rPr>
          <w:rStyle w:val="VerbatimChar"/>
        </w:rPr>
        <w:t>https://istc-smartcampus.vercel.app</w:t>
      </w:r>
      <w:r>
        <w:rPr/>
        <w:t xml:space="preserve">) dans </w:t>
      </w:r>
      <w:r>
        <w:rPr>
          <w:rStyle w:val="VerbatimChar"/>
        </w:rPr>
        <w:t>CORS_ALLOWED_ORIGINS</w:t>
      </w:r>
      <w:r>
        <w:rPr/>
        <w:t xml:space="preserve"> du backend, puis redémarrez l’API (</w:t>
      </w:r>
      <w:r>
        <w:rPr>
          <w:rStyle w:val="VerbatimChar"/>
        </w:rPr>
        <w:t>sudo systemctl restart smartcampus-api</w:t>
      </w:r>
      <w:r>
        <w:rPr/>
        <w:t>).</w:t>
      </w:r>
      <w:bookmarkEnd w:id="373"/>
      <w:bookmarkEnd w:id="383"/>
    </w:p>
    <w:p>
      <w:pPr>
        <w:pStyle w:val="Heading2"/>
        <w:rPr/>
      </w:pPr>
      <w:bookmarkStart w:id="384" w:name="__RefHeading___Toc15206_1458957718"/>
      <w:bookmarkStart w:id="385" w:name="fichier-de-configuration-.env"/>
      <w:bookmarkEnd w:id="384"/>
      <w:r>
        <w:rPr/>
        <w:t>Fichier de configuration (.env)</w:t>
      </w:r>
    </w:p>
    <w:p>
      <w:pPr>
        <w:pStyle w:val="FirstParagraph"/>
        <w:rPr/>
      </w:pPr>
      <w:r>
        <w:rPr/>
        <w:t xml:space="preserve">Les réglages propres à chaque installation (mots de passe, adresses) ne sont </w:t>
      </w:r>
      <w:r>
        <w:rPr>
          <w:b/>
          <w:bCs/>
        </w:rPr>
        <w:t>pas</w:t>
      </w:r>
      <w:r>
        <w:rPr/>
        <w:t xml:space="preserve"> dans le code : ils sont dans des fichiers </w:t>
      </w:r>
      <w:r>
        <w:rPr>
          <w:rStyle w:val="VerbatimChar"/>
        </w:rPr>
        <w:t>.env</w:t>
      </w:r>
      <w:r>
        <w:rPr/>
        <w:t xml:space="preserve">, à créer à partir des modèles fournis. </w:t>
      </w:r>
      <w:r>
        <w:rPr>
          <w:b/>
          <w:bCs/>
        </w:rPr>
        <w:t>Ne partagez jamais ces fichiers</w:t>
      </w:r>
      <w:r>
        <w:rPr/>
        <w:t xml:space="preserve"> et ne les envoyez pas dans Git (ils sont déjà exclus).</w:t>
      </w:r>
    </w:p>
    <w:p>
      <w:pPr>
        <w:pStyle w:val="BodyText"/>
        <w:rPr/>
      </w:pPr>
      <w:r>
        <w:rPr/>
        <w:t>Après toute modification :</w:t>
      </w:r>
    </w:p>
    <w:p>
      <w:pPr>
        <w:pStyle w:val="Compact"/>
        <w:numPr>
          <w:ilvl w:val="0"/>
          <w:numId w:val="461"/>
        </w:numPr>
        <w:rPr/>
      </w:pPr>
      <w:r>
        <w:rPr/>
        <w:t>backend : redémarrez l’API (</w:t>
      </w:r>
      <w:r>
        <w:rPr>
          <w:rStyle w:val="VerbatimChar"/>
        </w:rPr>
        <w:t>sudo systemctl restart smartcampus-api</w:t>
      </w:r>
      <w:r>
        <w:rPr/>
        <w:t>) ;</w:t>
      </w:r>
    </w:p>
    <w:p>
      <w:pPr>
        <w:pStyle w:val="Compact"/>
        <w:numPr>
          <w:ilvl w:val="0"/>
          <w:numId w:val="462"/>
        </w:numPr>
        <w:rPr/>
      </w:pPr>
      <w:r>
        <w:rPr/>
        <w:t>frontend : reconstruisez (</w:t>
      </w:r>
      <w:r>
        <w:rPr>
          <w:rStyle w:val="VerbatimChar"/>
        </w:rPr>
        <w:t>npm run build</w:t>
      </w:r>
      <w:r>
        <w:rPr/>
        <w:t>) puis redémarrez (</w:t>
      </w:r>
      <w:r>
        <w:rPr>
          <w:rStyle w:val="VerbatimChar"/>
        </w:rPr>
        <w:t>sudo systemctl restart smartcampus-web</w:t>
      </w:r>
      <w:r>
        <w:rPr/>
        <w:t>).</w:t>
      </w:r>
    </w:p>
    <w:p>
      <w:pPr>
        <w:pStyle w:val="Heading3"/>
        <w:rPr/>
      </w:pPr>
      <w:bookmarkStart w:id="386" w:name="backend-back-istc.env"/>
      <w:bookmarkEnd w:id="386"/>
      <w:r>
        <w:rPr/>
        <w:t xml:space="preserve">Backend — </w:t>
      </w:r>
      <w:r>
        <w:rPr>
          <w:rStyle w:val="VerbatimChar"/>
        </w:rPr>
        <w:t>back-istc/.env</w:t>
      </w:r>
    </w:p>
    <w:p>
      <w:pPr>
        <w:pStyle w:val="FirstParagraph"/>
        <w:rPr/>
      </w:pPr>
      <w:r>
        <w:rPr/>
        <w:t xml:space="preserve">Modèle : </w:t>
      </w:r>
      <w:r>
        <w:rPr>
          <w:rStyle w:val="VerbatimChar"/>
        </w:rPr>
        <w:t>back-istc/.env.example</w:t>
      </w:r>
      <w:r>
        <w:rPr/>
        <w: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005"/>
        <w:gridCol w:w="1101"/>
        <w:gridCol w:w="2161"/>
        <w:gridCol w:w="4370"/>
      </w:tblGrid>
      <w:tr>
        <w:trPr>
          <w:tblHeader w:val="true"/>
          <w:cantSplit w:val="true"/>
        </w:trPr>
        <w:tc>
          <w:tcPr>
            <w:tcW w:w="200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Variable</w:t>
            </w:r>
          </w:p>
        </w:tc>
        <w:tc>
          <w:tcPr>
            <w:tcW w:w="110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Obligatoire en production</w:t>
            </w:r>
          </w:p>
        </w:tc>
        <w:tc>
          <w:tcPr>
            <w:tcW w:w="216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c>
          <w:tcPr>
            <w:tcW w:w="437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Rôle</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SECRET_KEY</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Oui</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k3J…</w:t>
            </w:r>
            <w:r>
              <w:rPr>
                <w:rFonts w:eastAsia="Calibri" w:cs="Calibri"/>
                <w:kern w:val="0"/>
                <w:sz w:val="19"/>
                <w:szCs w:val="19"/>
                <w:lang w:val="fr-FR" w:eastAsia="en-US" w:bidi="ar-SA"/>
              </w:rPr>
              <w:t xml:space="preserve"> (50 caractères aléatoires)</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Clé de chiffrement des sessions et jetons. Unique par installation, à ne jamais divulguer. La changer déconnecte tout le monde.</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DEBUG</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Oui</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False</w:t>
            </w:r>
            <w:r>
              <w:rPr>
                <w:rFonts w:eastAsia="Calibri" w:cs="Calibri"/>
                <w:kern w:val="0"/>
                <w:sz w:val="19"/>
                <w:szCs w:val="19"/>
                <w:lang w:val="fr-FR" w:eastAsia="en-US" w:bidi="ar-SA"/>
              </w:rPr>
              <w:t>)</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False</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True</w:t>
            </w:r>
            <w:r>
              <w:rPr>
                <w:rFonts w:eastAsia="Calibri" w:cs="Calibri"/>
                <w:kern w:val="0"/>
                <w:sz w:val="19"/>
                <w:szCs w:val="19"/>
                <w:lang w:val="fr-FR" w:eastAsia="en-US" w:bidi="ar-SA"/>
              </w:rPr>
              <w:t xml:space="preserve"> uniquement sur un poste de test : affiche le détail des erreurs (dangereux en ligne).</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ALLOWED_HOSTS</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Oui</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api.smartcampus.exemple.cm,smartcampus.exemple.cm</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Noms de domaine autorisés pour joindre l’API, séparés par des virgules, </w:t>
            </w:r>
            <w:r>
              <w:rPr>
                <w:rFonts w:eastAsia="Calibri" w:cs="Calibri"/>
                <w:b/>
                <w:bCs/>
                <w:kern w:val="0"/>
                <w:sz w:val="19"/>
                <w:szCs w:val="19"/>
                <w:lang w:val="fr-FR" w:eastAsia="en-US" w:bidi="ar-SA"/>
              </w:rPr>
              <w:t>sans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https://</w:t>
            </w:r>
            <w:r>
              <w:rPr>
                <w:rFonts w:eastAsia="Calibri" w:cs="Calibri"/>
                <w:kern w:val="0"/>
                <w:sz w:val="19"/>
                <w:szCs w:val="19"/>
                <w:lang w:val="fr-FR" w:eastAsia="en-US" w:bidi="ar-SA"/>
              </w:rPr>
              <w:t xml:space="preserve">. Si la variable est absente, une liste par défaut (localhost, istc.tenteeglobal.com, smart.tenteeglobal.com) est utilisée ; si elle est présente, </w:t>
            </w:r>
            <w:r>
              <w:rPr>
                <w:rFonts w:eastAsia="Calibri" w:cs="Calibri"/>
                <w:b/>
                <w:bCs/>
                <w:kern w:val="0"/>
                <w:sz w:val="19"/>
                <w:szCs w:val="19"/>
                <w:lang w:val="fr-FR" w:eastAsia="en-US" w:bidi="ar-SA"/>
              </w:rPr>
              <w:t>elle remplace</w:t>
            </w:r>
            <w:r>
              <w:rPr>
                <w:rFonts w:eastAsia="Calibri" w:cs="Calibri"/>
                <w:kern w:val="0"/>
                <w:sz w:val="19"/>
                <w:szCs w:val="19"/>
                <w:lang w:val="fr-FR" w:eastAsia="en-US" w:bidi="ar-SA"/>
              </w:rPr>
              <w:t xml:space="preserve"> cette liste. Les origines HTTPS de confiance (CSRF) en sont déduites automatiquement.</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DATABASE_URL</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Oui</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postgresql://utilisateur:motdepasse@127.0.0.1:5432/smartcampus</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Connexion à PostgreSQL. Vide = base SQLite locale (</w:t>
            </w:r>
            <w:r>
              <w:rPr>
                <w:rStyle w:val="VerbatimChar"/>
                <w:rFonts w:eastAsia="Calibri" w:cs="Calibri"/>
                <w:kern w:val="0"/>
                <w:lang w:val="fr-FR" w:eastAsia="en-US" w:bidi="ar-SA"/>
              </w:rPr>
              <w:t>db.sqlite3</w:t>
            </w:r>
            <w:r>
              <w:rPr>
                <w:rFonts w:eastAsia="Calibri" w:cs="Calibri"/>
                <w:kern w:val="0"/>
                <w:sz w:val="19"/>
                <w:szCs w:val="19"/>
                <w:lang w:val="fr-FR" w:eastAsia="en-US" w:bidi="ar-SA"/>
              </w:rPr>
              <w:t>), réservée aux essais.</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DB_SSL_REQUIRE</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Non</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False</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True</w:t>
            </w:r>
            <w:r>
              <w:rPr>
                <w:rFonts w:eastAsia="Calibri" w:cs="Calibri"/>
                <w:kern w:val="0"/>
                <w:sz w:val="19"/>
                <w:szCs w:val="19"/>
                <w:lang w:val="fr-FR" w:eastAsia="en-US" w:bidi="ar-SA"/>
              </w:rPr>
              <w:t xml:space="preserve"> si la base est hébergée chez un fournisseur exigeant SSL.</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CORS_ALLOWED_ORIGINS</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Selon le cas</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https://smartcampus.exemple.cm</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Adresses </w:t>
            </w:r>
            <w:r>
              <w:rPr>
                <w:rFonts w:eastAsia="Calibri" w:cs="Calibri"/>
                <w:b/>
                <w:bCs/>
                <w:kern w:val="0"/>
                <w:sz w:val="19"/>
                <w:szCs w:val="19"/>
                <w:lang w:val="fr-FR" w:eastAsia="en-US" w:bidi="ar-SA"/>
              </w:rPr>
              <w:t>complètes</w:t>
            </w:r>
            <w:r>
              <w:rPr>
                <w:rFonts w:eastAsia="Calibri" w:cs="Calibri"/>
                <w:kern w:val="0"/>
                <w:sz w:val="19"/>
                <w:szCs w:val="19"/>
                <w:lang w:val="fr-FR" w:eastAsia="en-US" w:bidi="ar-SA"/>
              </w:rPr>
              <w:t xml:space="preserve"> (avec </w:t>
            </w:r>
            <w:r>
              <w:rPr>
                <w:rStyle w:val="VerbatimChar"/>
                <w:rFonts w:eastAsia="Calibri" w:cs="Calibri"/>
                <w:kern w:val="0"/>
                <w:lang w:val="fr-FR" w:eastAsia="en-US" w:bidi="ar-SA"/>
              </w:rPr>
              <w:t>https://</w:t>
            </w:r>
            <w:r>
              <w:rPr>
                <w:rFonts w:eastAsia="Calibri" w:cs="Calibri"/>
                <w:kern w:val="0"/>
                <w:sz w:val="19"/>
                <w:szCs w:val="19"/>
                <w:lang w:val="fr-FR" w:eastAsia="en-US" w:bidi="ar-SA"/>
              </w:rPr>
              <w:t xml:space="preserve">) des interfaces autorisées à appeler l’API, séparées par des virgules. Elles </w:t>
            </w:r>
            <w:r>
              <w:rPr>
                <w:rFonts w:eastAsia="Calibri" w:cs="Calibri"/>
                <w:b/>
                <w:bCs/>
                <w:kern w:val="0"/>
                <w:sz w:val="19"/>
                <w:szCs w:val="19"/>
                <w:lang w:val="fr-FR" w:eastAsia="en-US" w:bidi="ar-SA"/>
              </w:rPr>
              <w:t>s’ajoutent</w:t>
            </w:r>
            <w:r>
              <w:rPr>
                <w:rFonts w:eastAsia="Calibri" w:cs="Calibri"/>
                <w:kern w:val="0"/>
                <w:sz w:val="19"/>
                <w:szCs w:val="19"/>
                <w:lang w:val="fr-FR" w:eastAsia="en-US" w:bidi="ar-SA"/>
              </w:rPr>
              <w:t xml:space="preserve"> aux adresses déjà autorisées dans le code (localhost:3000, istc.tenteeglobal.com, smart.tenteeglobal.com, istc-smartcampus.vercel.app).</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RECAPTCHA_SECRET_KEY</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Recommandé</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6Lc…</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Clé </w:t>
            </w:r>
            <w:r>
              <w:rPr>
                <w:rFonts w:eastAsia="Calibri" w:cs="Calibri"/>
                <w:b/>
                <w:bCs/>
                <w:kern w:val="0"/>
                <w:sz w:val="19"/>
                <w:szCs w:val="19"/>
                <w:lang w:val="fr-FR" w:eastAsia="en-US" w:bidi="ar-SA"/>
              </w:rPr>
              <w:t>secrète</w:t>
            </w:r>
            <w:r>
              <w:rPr>
                <w:rFonts w:eastAsia="Calibri" w:cs="Calibri"/>
                <w:kern w:val="0"/>
                <w:sz w:val="19"/>
                <w:szCs w:val="19"/>
                <w:lang w:val="fr-FR" w:eastAsia="en-US" w:bidi="ar-SA"/>
              </w:rPr>
              <w:t xml:space="preserve"> reCAPTCHA v2. Si renseignée, la connexion et la préinscription exigent le reCAPTCHA. Vide = pas de vérification.</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CONTROLE_DROITS_PERSONNEL</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Non</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True</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Contrôle des droits du personnel par le serveur (activé par défaut). </w:t>
            </w:r>
            <w:r>
              <w:rPr>
                <w:rStyle w:val="VerbatimChar"/>
                <w:rFonts w:eastAsia="Calibri" w:cs="Calibri"/>
                <w:kern w:val="0"/>
                <w:lang w:val="fr-FR" w:eastAsia="en-US" w:bidi="ar-SA"/>
              </w:rPr>
              <w:t>False</w:t>
            </w:r>
            <w:r>
              <w:rPr>
                <w:rFonts w:eastAsia="Calibri" w:cs="Calibri"/>
                <w:kern w:val="0"/>
                <w:sz w:val="19"/>
                <w:szCs w:val="19"/>
                <w:lang w:val="fr-FR" w:eastAsia="en-US" w:bidi="ar-SA"/>
              </w:rPr>
              <w:t xml:space="preserve"> le désactive temporairement en cas de blocage après une mise à jour, le temps de corriger les rôles.</w:t>
            </w:r>
          </w:p>
        </w:tc>
      </w:tr>
      <w:tr>
        <w:trPr>
          <w:cantSplit w:val="true"/>
        </w:trPr>
        <w:tc>
          <w:tcPr>
            <w:tcW w:w="20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CELERY_BROKER_URL</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CELERY_RESULT_BACKEND</w:t>
            </w:r>
          </w:p>
        </w:tc>
        <w:tc>
          <w:tcPr>
            <w:tcW w:w="110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Non</w:t>
            </w:r>
          </w:p>
        </w:tc>
        <w:tc>
          <w:tcPr>
            <w:tcW w:w="216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redis://127.0.0.1:6379/0</w:t>
            </w:r>
          </w:p>
        </w:tc>
        <w:tc>
          <w:tcPr>
            <w:tcW w:w="437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Tâches en arrière-plan (facultatif, non nécessaire au fonctionnement courant).</w:t>
            </w:r>
          </w:p>
        </w:tc>
      </w:tr>
    </w:tbl>
    <w:p>
      <w:pPr>
        <w:pStyle w:val="EncadreDanger"/>
        <w:rPr/>
      </w:pPr>
      <w:r>
        <w:rPr>
          <w:b/>
          <w:bCs/>
        </w:rPr>
        <w:t>Erreur « Hôte interdit » / DisallowedHost</w:t>
      </w:r>
    </w:p>
    <w:p>
      <w:pPr>
        <w:pStyle w:val="EncadreDanger"/>
        <w:rPr/>
      </w:pPr>
      <w:r>
        <w:rPr/>
        <w:t xml:space="preserve">Si le domaine utilisé par les navigateurs n’est pas dans </w:t>
      </w:r>
      <w:r>
        <w:rPr>
          <w:rStyle w:val="VerbatimChar"/>
        </w:rPr>
        <w:t>ALLOWED_HOSTS</w:t>
      </w:r>
      <w:r>
        <w:rPr/>
        <w:t xml:space="preserve">, toutes les requêtes échouent (« Invalid HTTP_HOST header »). Ajoutez le domaine, sans </w:t>
      </w:r>
      <w:r>
        <w:rPr>
          <w:rStyle w:val="VerbatimChar"/>
        </w:rPr>
        <w:t>https://</w:t>
      </w:r>
      <w:r>
        <w:rPr/>
        <w:t xml:space="preserve"> ni </w:t>
      </w:r>
      <w:r>
        <w:rPr>
          <w:rStyle w:val="VerbatimChar"/>
        </w:rPr>
        <w:t>/</w:t>
      </w:r>
      <w:r>
        <w:rPr/>
        <w:t>, puis redémarrez l’API. Voir Dépannage.</w:t>
      </w:r>
    </w:p>
    <w:p>
      <w:pPr>
        <w:pStyle w:val="Normal"/>
        <w:spacing w:before="0" w:after="60"/>
        <w:rPr>
          <w:sz w:val="8"/>
        </w:rPr>
      </w:pPr>
      <w:r>
        <w:rPr>
          <w:sz w:val="8"/>
        </w:rPr>
      </w:r>
      <w:bookmarkStart w:id="387" w:name="backend-back-istc.env"/>
      <w:bookmarkStart w:id="388" w:name="backend-back-istc.env"/>
      <w:bookmarkEnd w:id="388"/>
    </w:p>
    <w:p>
      <w:pPr>
        <w:pStyle w:val="Heading3"/>
        <w:rPr/>
      </w:pPr>
      <w:bookmarkStart w:id="389" w:name="frontend-frontend.env.local"/>
      <w:bookmarkEnd w:id="389"/>
      <w:r>
        <w:rPr/>
        <w:t xml:space="preserve">Frontend — </w:t>
      </w:r>
      <w:r>
        <w:rPr>
          <w:rStyle w:val="VerbatimChar"/>
        </w:rPr>
        <w:t>frontend/.env.local</w:t>
      </w:r>
    </w:p>
    <w:p>
      <w:pPr>
        <w:pStyle w:val="FirstParagraph"/>
        <w:rPr/>
      </w:pPr>
      <w:r>
        <w:rPr/>
        <w:t xml:space="preserve">Modèle : </w:t>
      </w:r>
      <w:r>
        <w:rPr>
          <w:rStyle w:val="VerbatimChar"/>
        </w:rPr>
        <w:t>frontend/.env.example</w:t>
      </w:r>
      <w:r>
        <w:rPr/>
        <w: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222"/>
        <w:gridCol w:w="2975"/>
        <w:gridCol w:w="3441"/>
      </w:tblGrid>
      <w:tr>
        <w:trPr>
          <w:tblHeader w:val="true"/>
          <w:cantSplit w:val="true"/>
        </w:trPr>
        <w:tc>
          <w:tcPr>
            <w:tcW w:w="322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Variable</w:t>
            </w:r>
          </w:p>
        </w:tc>
        <w:tc>
          <w:tcPr>
            <w:tcW w:w="297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Exemple</w:t>
            </w:r>
          </w:p>
        </w:tc>
        <w:tc>
          <w:tcPr>
            <w:tcW w:w="344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Rôle</w:t>
            </w:r>
          </w:p>
        </w:tc>
      </w:tr>
      <w:tr>
        <w:trPr>
          <w:cantSplit w:val="true"/>
        </w:trPr>
        <w:tc>
          <w:tcPr>
            <w:tcW w:w="32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NEXT_PUBLIC_API_BASE_URL</w:t>
            </w:r>
          </w:p>
        </w:tc>
        <w:tc>
          <w:tcPr>
            <w:tcW w:w="297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https://api.smartcampus.exemple.cm</w:t>
            </w:r>
          </w:p>
        </w:tc>
        <w:tc>
          <w:tcPr>
            <w:tcW w:w="34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Adresse de l’API, </w:t>
            </w:r>
            <w:r>
              <w:rPr>
                <w:rFonts w:eastAsia="Calibri" w:cs="Calibri"/>
                <w:b/>
                <w:bCs/>
                <w:kern w:val="0"/>
                <w:sz w:val="19"/>
                <w:szCs w:val="19"/>
                <w:lang w:val="fr-FR" w:eastAsia="en-US" w:bidi="ar-SA"/>
              </w:rPr>
              <w:t>sans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w:t>
            </w:r>
            <w:r>
              <w:rPr>
                <w:rFonts w:eastAsia="Calibri" w:cs="Calibri"/>
                <w:kern w:val="0"/>
                <w:sz w:val="19"/>
                <w:szCs w:val="19"/>
                <w:lang w:val="fr-FR" w:eastAsia="en-US" w:bidi="ar-SA"/>
              </w:rPr>
              <w:t xml:space="preserve"> et sans </w:t>
            </w:r>
            <w:r>
              <w:rPr>
                <w:rStyle w:val="VerbatimChar"/>
                <w:rFonts w:eastAsia="Calibri" w:cs="Calibri"/>
                <w:kern w:val="0"/>
                <w:lang w:val="fr-FR" w:eastAsia="en-US" w:bidi="ar-SA"/>
              </w:rPr>
              <w:t>/</w:t>
            </w:r>
            <w:r>
              <w:rPr>
                <w:rFonts w:eastAsia="Calibri" w:cs="Calibri"/>
                <w:kern w:val="0"/>
                <w:sz w:val="19"/>
                <w:szCs w:val="19"/>
                <w:lang w:val="fr-FR" w:eastAsia="en-US" w:bidi="ar-SA"/>
              </w:rPr>
              <w:t xml:space="preserve"> final.</w:t>
            </w:r>
          </w:p>
        </w:tc>
      </w:tr>
      <w:tr>
        <w:trPr>
          <w:cantSplit w:val="true"/>
        </w:trPr>
        <w:tc>
          <w:tcPr>
            <w:tcW w:w="32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NEXT_PUBLIC_RECAPTCHA_SITE_KEY</w:t>
            </w:r>
          </w:p>
        </w:tc>
        <w:tc>
          <w:tcPr>
            <w:tcW w:w="297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6Lc…</w:t>
            </w:r>
          </w:p>
        </w:tc>
        <w:tc>
          <w:tcPr>
            <w:tcW w:w="34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Clé </w:t>
            </w:r>
            <w:r>
              <w:rPr>
                <w:rFonts w:eastAsia="Calibri" w:cs="Calibri"/>
                <w:b/>
                <w:bCs/>
                <w:kern w:val="0"/>
                <w:sz w:val="19"/>
                <w:szCs w:val="19"/>
                <w:lang w:val="fr-FR" w:eastAsia="en-US" w:bidi="ar-SA"/>
              </w:rPr>
              <w:t>du site</w:t>
            </w:r>
            <w:r>
              <w:rPr>
                <w:rFonts w:eastAsia="Calibri" w:cs="Calibri"/>
                <w:kern w:val="0"/>
                <w:sz w:val="19"/>
                <w:szCs w:val="19"/>
                <w:lang w:val="fr-FR" w:eastAsia="en-US" w:bidi="ar-SA"/>
              </w:rPr>
              <w:t xml:space="preserve"> (publique) reCAPTCHA v2. Doit correspondre à la clé secrète du backend. Vide = reCAPTCHA masqué.</w:t>
            </w:r>
          </w:p>
        </w:tc>
      </w:tr>
    </w:tbl>
    <w:p>
      <w:pPr>
        <w:pStyle w:val="EncadreAttention"/>
        <w:rPr/>
      </w:pPr>
      <w:r>
        <w:rPr>
          <w:b/>
          <w:bCs/>
        </w:rPr>
        <w:t>reCAPTCHA : les deux clés vont ensemble</w:t>
      </w:r>
    </w:p>
    <w:p>
      <w:pPr>
        <w:pStyle w:val="EncadreAttention"/>
        <w:rPr/>
      </w:pPr>
      <w:r>
        <w:rPr/>
        <w:t xml:space="preserve">Si </w:t>
      </w:r>
      <w:r>
        <w:rPr>
          <w:rStyle w:val="VerbatimChar"/>
        </w:rPr>
        <w:t>RECAPTCHA_SECRET_KEY</w:t>
      </w:r>
      <w:r>
        <w:rPr/>
        <w:t xml:space="preserve"> est renseignée côté backend mais que </w:t>
      </w:r>
      <w:r>
        <w:rPr>
          <w:rStyle w:val="VerbatimChar"/>
        </w:rPr>
        <w:t>NEXT_PUBLIC_RECAPTCHA_SITE_KEY</w:t>
      </w:r>
      <w:r>
        <w:rPr/>
        <w:t xml:space="preserve"> est vide côté frontend, </w:t>
      </w:r>
      <w:r>
        <w:rPr>
          <w:b/>
          <w:bCs/>
        </w:rPr>
        <w:t>personne ne peut plus se connecter</w:t>
      </w:r>
      <w:r>
        <w:rPr/>
        <w:t xml:space="preserve"> (la case n’est pas affichée mais le serveur l’exige). Renseignez les deux, ou aucune.</w:t>
      </w:r>
    </w:p>
    <w:p>
      <w:pPr>
        <w:pStyle w:val="Normal"/>
        <w:spacing w:before="0" w:after="60"/>
        <w:rPr>
          <w:sz w:val="8"/>
        </w:rPr>
      </w:pPr>
      <w:r>
        <w:rPr>
          <w:sz w:val="8"/>
        </w:rPr>
      </w:r>
      <w:bookmarkStart w:id="390" w:name="frontend-frontend.env.local"/>
      <w:bookmarkStart w:id="391" w:name="frontend-frontend.env.local"/>
      <w:bookmarkEnd w:id="391"/>
    </w:p>
    <w:p>
      <w:pPr>
        <w:pStyle w:val="Heading3"/>
        <w:rPr/>
      </w:pPr>
      <w:r>
        <w:rPr/>
        <w:t>Réglages faits dans l’application (pas dans .env)</w:t>
      </w:r>
    </w:p>
    <w:p>
      <w:pPr>
        <w:pStyle w:val="FirstParagraph"/>
        <w:rPr/>
      </w:pPr>
      <w:r>
        <w:rPr/>
        <w:t>Ces réglages se font par un administrateur dans l’interface, sans toucher au serveur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4681"/>
        <w:gridCol w:w="4956"/>
      </w:tblGrid>
      <w:tr>
        <w:trPr>
          <w:tblHeader w:val="true"/>
          <w:cantSplit w:val="true"/>
        </w:trPr>
        <w:tc>
          <w:tcPr>
            <w:tcW w:w="468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Réglage</w:t>
            </w:r>
          </w:p>
        </w:tc>
        <w:tc>
          <w:tcPr>
            <w:tcW w:w="495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Où</w:t>
            </w:r>
          </w:p>
        </w:tc>
      </w:tr>
      <w:tr>
        <w:trPr>
          <w:cantSplit w:val="true"/>
        </w:trPr>
        <w:tc>
          <w:tcPr>
            <w:tcW w:w="46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Nom, logos, couleurs, coordonnées, directeur, signature</w:t>
            </w:r>
          </w:p>
        </w:tc>
        <w:tc>
          <w:tcPr>
            <w:tcW w:w="495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Système</w:t>
            </w:r>
            <w:r>
              <w:rPr>
                <w:rFonts w:eastAsia="Calibri" w:cs="Calibri"/>
                <w:kern w:val="0"/>
                <w:sz w:val="19"/>
                <w:szCs w:val="19"/>
                <w:lang w:val="fr-FR" w:eastAsia="en-US" w:bidi="ar-SA"/>
              </w:rPr>
              <w:t xml:space="preserve"> → </w:t>
            </w:r>
            <w:r>
              <w:rPr>
                <w:rFonts w:eastAsia="Calibri" w:cs="Calibri"/>
                <w:i/>
                <w:iCs/>
                <w:kern w:val="0"/>
                <w:sz w:val="19"/>
                <w:szCs w:val="19"/>
                <w:lang w:val="fr-FR" w:eastAsia="en-US" w:bidi="ar-SA"/>
              </w:rPr>
              <w:t>Apparence &amp; École</w:t>
            </w:r>
          </w:p>
        </w:tc>
      </w:tr>
      <w:tr>
        <w:trPr>
          <w:cantSplit w:val="true"/>
        </w:trPr>
        <w:tc>
          <w:tcPr>
            <w:tcW w:w="46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Horaires de journée et de pause par cycle</w:t>
            </w:r>
          </w:p>
        </w:tc>
        <w:tc>
          <w:tcPr>
            <w:tcW w:w="495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Système</w:t>
            </w:r>
            <w:r>
              <w:rPr>
                <w:rFonts w:eastAsia="Calibri" w:cs="Calibri"/>
                <w:kern w:val="0"/>
                <w:sz w:val="19"/>
                <w:szCs w:val="19"/>
                <w:lang w:val="fr-FR" w:eastAsia="en-US" w:bidi="ar-SA"/>
              </w:rPr>
              <w:t xml:space="preserve"> → </w:t>
            </w:r>
            <w:r>
              <w:rPr>
                <w:rFonts w:eastAsia="Calibri" w:cs="Calibri"/>
                <w:i/>
                <w:iCs/>
                <w:kern w:val="0"/>
                <w:sz w:val="19"/>
                <w:szCs w:val="19"/>
                <w:lang w:val="fr-FR" w:eastAsia="en-US" w:bidi="ar-SA"/>
              </w:rPr>
              <w:t>Paramètres Globaux</w:t>
            </w:r>
            <w:r>
              <w:rPr>
                <w:rFonts w:eastAsia="Calibri" w:cs="Calibri"/>
                <w:kern w:val="0"/>
                <w:sz w:val="19"/>
                <w:szCs w:val="19"/>
                <w:lang w:val="fr-FR" w:eastAsia="en-US" w:bidi="ar-SA"/>
              </w:rPr>
              <w:t xml:space="preserve"> → Cycles Globaux</w:t>
            </w:r>
          </w:p>
        </w:tc>
      </w:tr>
      <w:tr>
        <w:trPr>
          <w:cantSplit w:val="true"/>
        </w:trPr>
        <w:tc>
          <w:tcPr>
            <w:tcW w:w="46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Pourcentages CC / SN</w:t>
            </w:r>
          </w:p>
        </w:tc>
        <w:tc>
          <w:tcPr>
            <w:tcW w:w="495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Système</w:t>
            </w:r>
            <w:r>
              <w:rPr>
                <w:rFonts w:eastAsia="Calibri" w:cs="Calibri"/>
                <w:kern w:val="0"/>
                <w:sz w:val="19"/>
                <w:szCs w:val="19"/>
                <w:lang w:val="fr-FR" w:eastAsia="en-US" w:bidi="ar-SA"/>
              </w:rPr>
              <w:t xml:space="preserve"> → </w:t>
            </w:r>
            <w:r>
              <w:rPr>
                <w:rFonts w:eastAsia="Calibri" w:cs="Calibri"/>
                <w:i/>
                <w:iCs/>
                <w:kern w:val="0"/>
                <w:sz w:val="19"/>
                <w:szCs w:val="19"/>
                <w:lang w:val="fr-FR" w:eastAsia="en-US" w:bidi="ar-SA"/>
              </w:rPr>
              <w:t>Paramètres Globaux</w:t>
            </w:r>
            <w:r>
              <w:rPr>
                <w:rFonts w:eastAsia="Calibri" w:cs="Calibri"/>
                <w:kern w:val="0"/>
                <w:sz w:val="19"/>
                <w:szCs w:val="19"/>
                <w:lang w:val="fr-FR" w:eastAsia="en-US" w:bidi="ar-SA"/>
              </w:rPr>
              <w:t xml:space="preserve"> → Calcul des Notes</w:t>
            </w:r>
          </w:p>
        </w:tc>
      </w:tr>
      <w:tr>
        <w:trPr>
          <w:cantSplit w:val="true"/>
        </w:trPr>
        <w:tc>
          <w:tcPr>
            <w:tcW w:w="46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Rôles et droits</w:t>
            </w:r>
          </w:p>
        </w:tc>
        <w:tc>
          <w:tcPr>
            <w:tcW w:w="495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Système</w:t>
            </w:r>
            <w:r>
              <w:rPr>
                <w:rFonts w:eastAsia="Calibri" w:cs="Calibri"/>
                <w:kern w:val="0"/>
                <w:sz w:val="19"/>
                <w:szCs w:val="19"/>
                <w:lang w:val="fr-FR" w:eastAsia="en-US" w:bidi="ar-SA"/>
              </w:rPr>
              <w:t xml:space="preserve"> → </w:t>
            </w:r>
            <w:r>
              <w:rPr>
                <w:rFonts w:eastAsia="Calibri" w:cs="Calibri"/>
                <w:i/>
                <w:iCs/>
                <w:kern w:val="0"/>
                <w:sz w:val="19"/>
                <w:szCs w:val="19"/>
                <w:lang w:val="fr-FR" w:eastAsia="en-US" w:bidi="ar-SA"/>
              </w:rPr>
              <w:t>Rôles</w:t>
            </w:r>
          </w:p>
        </w:tc>
      </w:tr>
      <w:tr>
        <w:trPr>
          <w:cantSplit w:val="true"/>
        </w:trPr>
        <w:tc>
          <w:tcPr>
            <w:tcW w:w="46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Année académique active</w:t>
            </w:r>
          </w:p>
        </w:tc>
        <w:tc>
          <w:tcPr>
            <w:tcW w:w="495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Pédagogie</w:t>
            </w:r>
            <w:r>
              <w:rPr>
                <w:rFonts w:eastAsia="Calibri" w:cs="Calibri"/>
                <w:kern w:val="0"/>
                <w:sz w:val="19"/>
                <w:szCs w:val="19"/>
                <w:lang w:val="fr-FR" w:eastAsia="en-US" w:bidi="ar-SA"/>
              </w:rPr>
              <w:t xml:space="preserve"> → Structure Académique → </w:t>
            </w:r>
            <w:r>
              <w:rPr>
                <w:rFonts w:eastAsia="Calibri" w:cs="Calibri"/>
                <w:i/>
                <w:iCs/>
                <w:kern w:val="0"/>
                <w:sz w:val="19"/>
                <w:szCs w:val="19"/>
                <w:lang w:val="fr-FR" w:eastAsia="en-US" w:bidi="ar-SA"/>
              </w:rPr>
              <w:t>Années Académiques</w:t>
            </w:r>
            <w:bookmarkStart w:id="392" w:name="Xecc5f9ff58766df65debb424c7f2236bce9b756"/>
            <w:bookmarkEnd w:id="392"/>
          </w:p>
        </w:tc>
      </w:tr>
    </w:tbl>
    <w:p>
      <w:pPr>
        <w:pStyle w:val="Heading3"/>
        <w:rPr/>
      </w:pPr>
      <w:r>
        <w:rPr/>
        <w:t>Durée des sessions</w:t>
      </w:r>
    </w:p>
    <w:p>
      <w:pPr>
        <w:pStyle w:val="FirstParagraph"/>
        <w:rPr/>
      </w:pPr>
      <w:r>
        <w:rPr/>
        <w:t xml:space="preserve">Définie dans </w:t>
      </w:r>
      <w:r>
        <w:rPr>
          <w:rStyle w:val="VerbatimChar"/>
        </w:rPr>
        <w:t>back-istc/smart_back/settings.py</w:t>
      </w:r>
      <w:r>
        <w:rPr/>
        <w:t xml:space="preserve"> (</w:t>
      </w:r>
      <w:r>
        <w:rPr>
          <w:rStyle w:val="VerbatimChar"/>
        </w:rPr>
        <w:t>SIMPLE_JWT</w:t>
      </w:r>
      <w:r>
        <w:rPr/>
        <w:t xml:space="preserve">) : jeton d’accès valable </w:t>
      </w:r>
      <w:r>
        <w:rPr>
          <w:b/>
          <w:bCs/>
        </w:rPr>
        <w:t>16 heures</w:t>
      </w:r>
      <w:r>
        <w:rPr/>
        <w:t xml:space="preserve">, renouvelable pendant </w:t>
      </w:r>
      <w:r>
        <w:rPr>
          <w:b/>
          <w:bCs/>
        </w:rPr>
        <w:t>1 jour</w:t>
      </w:r>
      <w:r>
        <w:rPr/>
        <w:t>. Au-delà, l’utilisateur doit se reconnecter.</w:t>
      </w:r>
      <w:bookmarkEnd w:id="385"/>
    </w:p>
    <w:p>
      <w:pPr>
        <w:pStyle w:val="Heading2"/>
        <w:rPr/>
      </w:pPr>
      <w:bookmarkStart w:id="393" w:name="__RefHeading___Toc15208_1458957718"/>
      <w:bookmarkStart w:id="394" w:name="sauvegardes-et-restauration"/>
      <w:bookmarkEnd w:id="393"/>
      <w:r>
        <w:rPr/>
        <w:t>Sauvegardes et restauration</w:t>
      </w:r>
    </w:p>
    <w:p>
      <w:pPr>
        <w:pStyle w:val="FirstParagraph"/>
        <w:rPr/>
      </w:pPr>
      <w:r>
        <w:rPr/>
        <w:t>Deux éléments doivent être sauvegardés :</w:t>
      </w:r>
    </w:p>
    <w:p>
      <w:pPr>
        <w:pStyle w:val="Compact"/>
        <w:numPr>
          <w:ilvl w:val="0"/>
          <w:numId w:val="463"/>
        </w:numPr>
        <w:rPr/>
      </w:pPr>
      <w:r>
        <w:rPr>
          <w:b/>
          <w:bCs/>
        </w:rPr>
        <w:t>La base de données</w:t>
      </w:r>
      <w:r>
        <w:rPr/>
        <w:t xml:space="preserve"> (étudiants, notes, paiements, paie…) ;</w:t>
      </w:r>
    </w:p>
    <w:p>
      <w:pPr>
        <w:pStyle w:val="Compact"/>
        <w:numPr>
          <w:ilvl w:val="0"/>
          <w:numId w:val="464"/>
        </w:numPr>
        <w:rPr/>
      </w:pPr>
      <w:r>
        <w:rPr>
          <w:b/>
          <w:bCs/>
        </w:rPr>
        <w:t xml:space="preserve">Le dossier </w:t>
      </w:r>
      <w:r>
        <w:rPr>
          <w:rStyle w:val="VerbatimChar"/>
          <w:b/>
          <w:bCs/>
        </w:rPr>
        <w:t>back-istc/media/</w:t>
      </w:r>
      <w:r>
        <w:rPr/>
        <w:t xml:space="preserve"> (photos, justificatifs de paiement, documents de cours, épreuves, logos).</w:t>
      </w:r>
    </w:p>
    <w:p>
      <w:pPr>
        <w:pStyle w:val="FirstParagraph"/>
        <w:rPr/>
      </w:pPr>
      <w:r>
        <w:rPr/>
        <w:t>Sans l’un ou l’autre, une restauration est incomplète.</w:t>
      </w:r>
    </w:p>
    <w:p>
      <w:pPr>
        <w:pStyle w:val="Heading3"/>
        <w:rPr/>
      </w:pPr>
      <w:bookmarkStart w:id="395" w:name="X5faf613743f1b61da03ba838904911c02996cf9"/>
      <w:r>
        <w:rPr/>
        <w:t>Sauvegarde automatique de la base (PostgreSQL)</w:t>
      </w:r>
    </w:p>
    <w:p>
      <w:pPr>
        <w:pStyle w:val="FirstParagraph"/>
        <w:rPr/>
      </w:pPr>
      <w:r>
        <w:rPr/>
        <w:t>Le projet fournit deux scripts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479"/>
        <w:gridCol w:w="6158"/>
      </w:tblGrid>
      <w:tr>
        <w:trPr>
          <w:tblHeader w:val="true"/>
          <w:cantSplit w:val="true"/>
        </w:trPr>
        <w:tc>
          <w:tcPr>
            <w:tcW w:w="347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Script</w:t>
            </w:r>
          </w:p>
        </w:tc>
        <w:tc>
          <w:tcPr>
            <w:tcW w:w="615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Rôle</w:t>
            </w:r>
          </w:p>
        </w:tc>
      </w:tr>
      <w:tr>
        <w:trPr>
          <w:cantSplit w:val="true"/>
        </w:trPr>
        <w:tc>
          <w:tcPr>
            <w:tcW w:w="34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back-istc/scripts/postgres_backup.sh</w:t>
            </w:r>
          </w:p>
        </w:tc>
        <w:tc>
          <w:tcPr>
            <w:tcW w:w="615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Crée une copie compressée de la base (</w:t>
            </w:r>
            <w:r>
              <w:rPr>
                <w:rStyle w:val="VerbatimChar"/>
                <w:rFonts w:eastAsia="Calibri" w:cs="Calibri"/>
                <w:kern w:val="0"/>
                <w:lang w:val="fr-FR" w:eastAsia="en-US" w:bidi="ar-SA"/>
              </w:rPr>
              <w:t>smartcampus_AAAAMMJJ_HHMMSS.dump</w:t>
            </w:r>
            <w:r>
              <w:rPr>
                <w:rFonts w:eastAsia="Calibri" w:cs="Calibri"/>
                <w:kern w:val="0"/>
                <w:sz w:val="19"/>
                <w:szCs w:val="19"/>
                <w:lang w:val="fr-FR" w:eastAsia="en-US" w:bidi="ar-SA"/>
              </w:rPr>
              <w:t xml:space="preserve">, format PostgreSQL « custom ») dans </w:t>
            </w:r>
            <w:r>
              <w:rPr>
                <w:rStyle w:val="VerbatimChar"/>
                <w:rFonts w:eastAsia="Calibri" w:cs="Calibri"/>
                <w:kern w:val="0"/>
                <w:lang w:val="fr-FR" w:eastAsia="en-US" w:bidi="ar-SA"/>
              </w:rPr>
              <w:t>back-istc/backups/postgres/</w:t>
            </w:r>
            <w:r>
              <w:rPr>
                <w:rFonts w:eastAsia="Calibri" w:cs="Calibri"/>
                <w:kern w:val="0"/>
                <w:sz w:val="19"/>
                <w:szCs w:val="19"/>
                <w:lang w:val="fr-FR" w:eastAsia="en-US" w:bidi="ar-SA"/>
              </w:rPr>
              <w:t xml:space="preserve"> et supprime les copies de plus de 30 jours (réglable avec </w:t>
            </w:r>
            <w:r>
              <w:rPr>
                <w:rStyle w:val="VerbatimChar"/>
                <w:rFonts w:eastAsia="Calibri" w:cs="Calibri"/>
                <w:kern w:val="0"/>
                <w:lang w:val="fr-FR" w:eastAsia="en-US" w:bidi="ar-SA"/>
              </w:rPr>
              <w:t>BACKUP_RETENTION_DAYS</w:t>
            </w:r>
            <w:r>
              <w:rPr>
                <w:rFonts w:eastAsia="Calibri" w:cs="Calibri"/>
                <w:kern w:val="0"/>
                <w:sz w:val="19"/>
                <w:szCs w:val="19"/>
                <w:lang w:val="fr-FR" w:eastAsia="en-US" w:bidi="ar-SA"/>
              </w:rPr>
              <w:t>).</w:t>
            </w:r>
          </w:p>
        </w:tc>
      </w:tr>
      <w:tr>
        <w:trPr>
          <w:cantSplit w:val="true"/>
        </w:trPr>
        <w:tc>
          <w:tcPr>
            <w:tcW w:w="34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back-istc/scripts/backup_cron.sh</w:t>
            </w:r>
          </w:p>
        </w:tc>
        <w:tc>
          <w:tcPr>
            <w:tcW w:w="615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Charge </w:t>
            </w:r>
            <w:r>
              <w:rPr>
                <w:rStyle w:val="VerbatimChar"/>
                <w:rFonts w:eastAsia="Calibri" w:cs="Calibri"/>
                <w:kern w:val="0"/>
                <w:lang w:val="fr-FR" w:eastAsia="en-US" w:bidi="ar-SA"/>
              </w:rPr>
              <w:t>.env</w:t>
            </w:r>
            <w:r>
              <w:rPr>
                <w:rFonts w:eastAsia="Calibri" w:cs="Calibri"/>
                <w:kern w:val="0"/>
                <w:sz w:val="19"/>
                <w:szCs w:val="19"/>
                <w:lang w:val="fr-FR" w:eastAsia="en-US" w:bidi="ar-SA"/>
              </w:rPr>
              <w:t xml:space="preserve"> (donc </w:t>
            </w:r>
            <w:r>
              <w:rPr>
                <w:rStyle w:val="VerbatimChar"/>
                <w:rFonts w:eastAsia="Calibri" w:cs="Calibri"/>
                <w:kern w:val="0"/>
                <w:lang w:val="fr-FR" w:eastAsia="en-US" w:bidi="ar-SA"/>
              </w:rPr>
              <w:t>DATABASE_URL</w:t>
            </w:r>
            <w:r>
              <w:rPr>
                <w:rFonts w:eastAsia="Calibri" w:cs="Calibri"/>
                <w:kern w:val="0"/>
                <w:sz w:val="19"/>
                <w:szCs w:val="19"/>
                <w:lang w:val="fr-FR" w:eastAsia="en-US" w:bidi="ar-SA"/>
              </w:rPr>
              <w:t>) puis lance le script précédent. C’est lui qu’on planifie.</w:t>
            </w:r>
          </w:p>
        </w:tc>
      </w:tr>
    </w:tbl>
    <w:p>
      <w:pPr>
        <w:pStyle w:val="BodyText"/>
        <w:rPr/>
      </w:pPr>
      <w:r>
        <w:rPr/>
        <w:t>Tester une fois à la main :</w:t>
      </w:r>
    </w:p>
    <w:p>
      <w:pPr>
        <w:pStyle w:val="SourceCode"/>
        <w:rPr/>
      </w:pPr>
      <w:r>
        <w:rPr>
          <w:rStyle w:val="BuiltInTok"/>
        </w:rPr>
        <w:t>cd</w:t>
      </w:r>
      <w:r>
        <w:rPr>
          <w:rStyle w:val="NormalTok"/>
        </w:rPr>
        <w:t xml:space="preserve"> /home/bitnami/istc-projects/back-istc</w:t>
      </w:r>
      <w:r>
        <w:rPr/>
        <w:br/>
      </w:r>
      <w:r>
        <w:rPr>
          <w:rStyle w:val="FunctionTok"/>
        </w:rPr>
        <w:t>bash</w:t>
      </w:r>
      <w:r>
        <w:rPr>
          <w:rStyle w:val="NormalTok"/>
        </w:rPr>
        <w:t xml:space="preserve"> scripts/backup_cron.sh</w:t>
      </w:r>
      <w:r>
        <w:rPr/>
        <w:br/>
      </w:r>
      <w:r>
        <w:rPr>
          <w:rStyle w:val="FunctionTok"/>
        </w:rPr>
        <w:t>ls</w:t>
      </w:r>
      <w:r>
        <w:rPr>
          <w:rStyle w:val="NormalTok"/>
        </w:rPr>
        <w:t xml:space="preserve"> </w:t>
      </w:r>
      <w:r>
        <w:rPr>
          <w:rStyle w:val="AttributeTok"/>
        </w:rPr>
        <w:t>-lh</w:t>
      </w:r>
      <w:r>
        <w:rPr>
          <w:rStyle w:val="NormalTok"/>
        </w:rPr>
        <w:t xml:space="preserve"> backups/postgres/</w:t>
      </w:r>
    </w:p>
    <w:p>
      <w:pPr>
        <w:pStyle w:val="FirstParagraph"/>
        <w:rPr/>
      </w:pPr>
      <w:r>
        <w:rPr/>
        <w:t>Planifier chaque nuit à 2 h :</w:t>
      </w:r>
    </w:p>
    <w:p>
      <w:pPr>
        <w:pStyle w:val="SourceCode"/>
        <w:rPr/>
      </w:pPr>
      <w:r>
        <w:rPr>
          <w:rStyle w:val="FunctionTok"/>
        </w:rPr>
        <w:t>crontab</w:t>
      </w:r>
      <w:r>
        <w:rPr>
          <w:rStyle w:val="NormalTok"/>
        </w:rPr>
        <w:t xml:space="preserve"> </w:t>
      </w:r>
      <w:r>
        <w:rPr>
          <w:rStyle w:val="AttributeTok"/>
        </w:rPr>
        <w:t>-e</w:t>
      </w:r>
    </w:p>
    <w:p>
      <w:pPr>
        <w:pStyle w:val="FirstParagraph"/>
        <w:rPr/>
      </w:pPr>
      <w:r>
        <w:rPr/>
        <w:t>Ajoutez la ligne :</w:t>
      </w:r>
    </w:p>
    <w:p>
      <w:pPr>
        <w:pStyle w:val="SourceCode"/>
        <w:rPr/>
      </w:pPr>
      <w:bookmarkStart w:id="396" w:name="X5faf613743f1b61da03ba838904911c02996cf9"/>
      <w:r>
        <w:rPr>
          <w:rStyle w:val="VerbatimChar"/>
        </w:rPr>
        <w:t>0 2 * * * /bin/bash /home/bitnami/istc-projects/back-istc/scripts/backup_cron.sh &gt;&gt; /home/bitnami/backup.log 2&gt;&amp;1</w:t>
      </w:r>
      <w:bookmarkEnd w:id="396"/>
    </w:p>
    <w:p>
      <w:pPr>
        <w:pStyle w:val="Heading3"/>
        <w:rPr/>
      </w:pPr>
      <w:bookmarkStart w:id="397" w:name="sauvegarde-des-fichiers-déposés"/>
      <w:bookmarkEnd w:id="397"/>
      <w:r>
        <w:rPr/>
        <w:t>Sauvegarde des fichiers déposés</w:t>
      </w:r>
    </w:p>
    <w:p>
      <w:pPr>
        <w:pStyle w:val="SourceCode"/>
        <w:rPr/>
      </w:pPr>
      <w:r>
        <w:rPr>
          <w:rStyle w:val="BuiltInTok"/>
        </w:rPr>
        <w:t>cd</w:t>
      </w:r>
      <w:r>
        <w:rPr>
          <w:rStyle w:val="NormalTok"/>
        </w:rPr>
        <w:t xml:space="preserve"> /home/bitnami/istc-projects/back-istc</w:t>
      </w:r>
      <w:r>
        <w:rPr/>
        <w:br/>
      </w:r>
      <w:r>
        <w:rPr>
          <w:rStyle w:val="FunctionTok"/>
        </w:rPr>
        <w:t>tar</w:t>
      </w:r>
      <w:r>
        <w:rPr>
          <w:rStyle w:val="NormalTok"/>
        </w:rPr>
        <w:t xml:space="preserve"> czf backups/media_</w:t>
      </w:r>
      <w:r>
        <w:rPr>
          <w:rStyle w:val="VariableTok"/>
        </w:rPr>
        <w:t>$(</w:t>
      </w:r>
      <w:r>
        <w:rPr>
          <w:rStyle w:val="FunctionTok"/>
        </w:rPr>
        <w:t>date</w:t>
      </w:r>
      <w:r>
        <w:rPr>
          <w:rStyle w:val="NormalTok"/>
        </w:rPr>
        <w:t xml:space="preserve"> +%Y%m%d</w:t>
      </w:r>
      <w:r>
        <w:rPr>
          <w:rStyle w:val="VariableTok"/>
        </w:rPr>
        <w:t>)</w:t>
      </w:r>
      <w:r>
        <w:rPr>
          <w:rStyle w:val="NormalTok"/>
        </w:rPr>
        <w:t>.tar.gz media/</w:t>
      </w:r>
    </w:p>
    <w:p>
      <w:pPr>
        <w:pStyle w:val="FirstParagraph"/>
        <w:rPr/>
      </w:pPr>
      <w:r>
        <w:rPr/>
        <w:t>À planifier de la même façon (par exemple chaque nuit à 2 h 30).</w:t>
      </w:r>
    </w:p>
    <w:p>
      <w:pPr>
        <w:pStyle w:val="EncadreDanger"/>
        <w:rPr/>
      </w:pPr>
      <w:r>
        <w:rPr>
          <w:b/>
          <w:bCs/>
        </w:rPr>
        <w:t>Copiez les sauvegardes hors du serveur</w:t>
      </w:r>
    </w:p>
    <w:p>
      <w:pPr>
        <w:pStyle w:val="EncadreDanger"/>
        <w:rPr/>
      </w:pPr>
      <w:r>
        <w:rPr/>
        <w:t xml:space="preserve">Une sauvegarde restée sur le serveur disparaît avec lui (panne disque, piratage). Copiez régulièrement le dossier </w:t>
      </w:r>
      <w:r>
        <w:rPr>
          <w:rStyle w:val="VerbatimChar"/>
        </w:rPr>
        <w:t>backups/</w:t>
      </w:r>
      <w:r>
        <w:rPr/>
        <w:t xml:space="preserve"> vers un autre emplacement : un autre serveur (</w:t>
      </w:r>
      <w:r>
        <w:rPr>
          <w:rStyle w:val="VerbatimChar"/>
        </w:rPr>
        <w:t>rsync</w:t>
      </w:r>
      <w:r>
        <w:rPr/>
        <w:t>), un stockage en ligne, ou au minimum un disque externe chaque semaine.</w:t>
      </w:r>
    </w:p>
    <w:p>
      <w:pPr>
        <w:pStyle w:val="Normal"/>
        <w:spacing w:before="0" w:after="60"/>
        <w:rPr>
          <w:sz w:val="8"/>
        </w:rPr>
      </w:pPr>
      <w:r>
        <w:rPr>
          <w:sz w:val="8"/>
        </w:rPr>
      </w:r>
      <w:bookmarkStart w:id="398" w:name="sauvegarde-des-fichiers-déposés"/>
      <w:bookmarkStart w:id="399" w:name="sauvegarde-des-fichiers-déposés"/>
      <w:bookmarkEnd w:id="399"/>
    </w:p>
    <w:p>
      <w:pPr>
        <w:pStyle w:val="Heading3"/>
        <w:rPr/>
      </w:pPr>
      <w:bookmarkStart w:id="400" w:name="restaurer"/>
      <w:r>
        <w:rPr/>
        <w:t>Restaurer</w:t>
      </w:r>
    </w:p>
    <w:p>
      <w:pPr>
        <w:pStyle w:val="EncadreAttention"/>
        <w:rPr/>
      </w:pPr>
      <w:r>
        <w:rPr>
          <w:b/>
          <w:bCs/>
        </w:rPr>
        <w:t>Attention</w:t>
      </w:r>
    </w:p>
    <w:p>
      <w:pPr>
        <w:pStyle w:val="EncadreAttention"/>
        <w:rPr/>
      </w:pPr>
      <w:r>
        <w:rPr/>
        <w:t xml:space="preserve">La restauration </w:t>
      </w:r>
      <w:r>
        <w:rPr>
          <w:b/>
          <w:bCs/>
        </w:rPr>
        <w:t>remplace</w:t>
      </w:r>
      <w:r>
        <w:rPr/>
        <w:t xml:space="preserve"> les données actuelles. Arrêtez l’API pendant l’opération et faites d’abord une sauvegarde de l’état actuel.</w:t>
      </w:r>
    </w:p>
    <w:p>
      <w:pPr>
        <w:pStyle w:val="Normal"/>
        <w:spacing w:before="0" w:after="60"/>
        <w:rPr>
          <w:sz w:val="8"/>
        </w:rPr>
      </w:pPr>
      <w:r>
        <w:rPr>
          <w:sz w:val="8"/>
        </w:rPr>
      </w:r>
    </w:p>
    <w:p>
      <w:pPr>
        <w:pStyle w:val="SourceCode"/>
        <w:rPr/>
      </w:pPr>
      <w:r>
        <w:rPr>
          <w:rStyle w:val="FunctionTok"/>
        </w:rPr>
        <w:t>sudo</w:t>
      </w:r>
      <w:r>
        <w:rPr>
          <w:rStyle w:val="NormalTok"/>
        </w:rPr>
        <w:t xml:space="preserve"> systemctl stop smartcampus-api</w:t>
      </w:r>
      <w:r>
        <w:rPr/>
        <w:br/>
        <w:br/>
      </w:r>
      <w:r>
        <w:rPr>
          <w:rStyle w:val="CommentTok"/>
        </w:rPr>
        <w:t># Base de données (adapter le nom du fichier)</w:t>
      </w:r>
      <w:r>
        <w:rPr/>
        <w:br/>
      </w:r>
      <w:r>
        <w:rPr>
          <w:rStyle w:val="BuiltInTok"/>
        </w:rPr>
        <w:t>set</w:t>
      </w:r>
      <w:r>
        <w:rPr>
          <w:rStyle w:val="NormalTok"/>
        </w:rPr>
        <w:t xml:space="preserve"> </w:t>
      </w:r>
      <w:r>
        <w:rPr>
          <w:rStyle w:val="AttributeTok"/>
        </w:rPr>
        <w:t>-a</w:t>
      </w:r>
      <w:r>
        <w:rPr>
          <w:rStyle w:val="KeywordTok"/>
        </w:rPr>
        <w:t>;</w:t>
      </w:r>
      <w:r>
        <w:rPr>
          <w:rStyle w:val="NormalTok"/>
        </w:rPr>
        <w:t xml:space="preserve"> </w:t>
      </w:r>
      <w:r>
        <w:rPr>
          <w:rStyle w:val="BuiltInTok"/>
        </w:rPr>
        <w:t>source</w:t>
      </w:r>
      <w:r>
        <w:rPr>
          <w:rStyle w:val="NormalTok"/>
        </w:rPr>
        <w:t xml:space="preserve"> .env</w:t>
      </w:r>
      <w:r>
        <w:rPr>
          <w:rStyle w:val="KeywordTok"/>
        </w:rPr>
        <w:t>;</w:t>
      </w:r>
      <w:r>
        <w:rPr>
          <w:rStyle w:val="NormalTok"/>
        </w:rPr>
        <w:t xml:space="preserve"> </w:t>
      </w:r>
      <w:r>
        <w:rPr>
          <w:rStyle w:val="BuiltInTok"/>
        </w:rPr>
        <w:t>set</w:t>
      </w:r>
      <w:r>
        <w:rPr>
          <w:rStyle w:val="NormalTok"/>
        </w:rPr>
        <w:t xml:space="preserve"> +a</w:t>
      </w:r>
      <w:r>
        <w:rPr/>
        <w:br/>
      </w:r>
      <w:r>
        <w:rPr>
          <w:rStyle w:val="ExtensionTok"/>
        </w:rPr>
        <w:t>pg_restore</w:t>
      </w:r>
      <w:r>
        <w:rPr>
          <w:rStyle w:val="NormalTok"/>
        </w:rPr>
        <w:t xml:space="preserve"> </w:t>
      </w:r>
      <w:r>
        <w:rPr>
          <w:rStyle w:val="AttributeTok"/>
        </w:rPr>
        <w:t>--clean</w:t>
      </w:r>
      <w:r>
        <w:rPr>
          <w:rStyle w:val="NormalTok"/>
        </w:rPr>
        <w:t xml:space="preserve"> </w:t>
      </w:r>
      <w:r>
        <w:rPr>
          <w:rStyle w:val="AttributeTok"/>
        </w:rPr>
        <w:t>--if-exists</w:t>
      </w:r>
      <w:r>
        <w:rPr>
          <w:rStyle w:val="NormalTok"/>
        </w:rPr>
        <w:t xml:space="preserve"> </w:t>
      </w:r>
      <w:r>
        <w:rPr>
          <w:rStyle w:val="AttributeTok"/>
        </w:rPr>
        <w:t>--no-owner</w:t>
      </w:r>
      <w:r>
        <w:rPr>
          <w:rStyle w:val="NormalTok"/>
        </w:rPr>
        <w:t xml:space="preserve"> </w:t>
      </w:r>
      <w:r>
        <w:rPr>
          <w:rStyle w:val="AttributeTok"/>
        </w:rPr>
        <w:t>-d</w:t>
      </w:r>
      <w:r>
        <w:rPr>
          <w:rStyle w:val="NormalTok"/>
        </w:rPr>
        <w:t xml:space="preserve"> </w:t>
      </w:r>
      <w:r>
        <w:rPr>
          <w:rStyle w:val="StringTok"/>
        </w:rPr>
        <w:t>"</w:t>
      </w:r>
      <w:r>
        <w:rPr>
          <w:rStyle w:val="VariableTok"/>
        </w:rPr>
        <w:t>$DATABASE_URL</w:t>
      </w:r>
      <w:r>
        <w:rPr>
          <w:rStyle w:val="StringTok"/>
        </w:rPr>
        <w:t>"</w:t>
      </w:r>
      <w:r>
        <w:rPr>
          <w:rStyle w:val="NormalTok"/>
        </w:rPr>
        <w:t xml:space="preserve"> backups/postgres/smartcampus_</w:t>
      </w:r>
      <w:r>
        <w:rPr>
          <w:rStyle w:val="OperatorTok"/>
        </w:rPr>
        <w:t>&lt;</w:t>
      </w:r>
      <w:r>
        <w:rPr>
          <w:rStyle w:val="NormalTok"/>
        </w:rPr>
        <w:t>date</w:t>
      </w:r>
      <w:r>
        <w:rPr>
          <w:rStyle w:val="OperatorTok"/>
        </w:rPr>
        <w:t>&gt;</w:t>
      </w:r>
      <w:r>
        <w:rPr>
          <w:rStyle w:val="NormalTok"/>
        </w:rPr>
        <w:t>.dump</w:t>
      </w:r>
      <w:r>
        <w:rPr/>
        <w:br/>
        <w:br/>
      </w:r>
      <w:r>
        <w:rPr>
          <w:rStyle w:val="CommentTok"/>
        </w:rPr>
        <w:t># Fichiers</w:t>
      </w:r>
      <w:r>
        <w:rPr/>
        <w:br/>
      </w:r>
      <w:r>
        <w:rPr>
          <w:rStyle w:val="FunctionTok"/>
        </w:rPr>
        <w:t>tar</w:t>
      </w:r>
      <w:r>
        <w:rPr>
          <w:rStyle w:val="NormalTok"/>
        </w:rPr>
        <w:t xml:space="preserve"> xzf backups/media_</w:t>
      </w:r>
      <w:r>
        <w:rPr>
          <w:rStyle w:val="OperatorTok"/>
        </w:rPr>
        <w:t>&lt;</w:t>
      </w:r>
      <w:r>
        <w:rPr>
          <w:rStyle w:val="NormalTok"/>
        </w:rPr>
        <w:t>date</w:t>
      </w:r>
      <w:r>
        <w:rPr>
          <w:rStyle w:val="OperatorTok"/>
        </w:rPr>
        <w:t>&gt;</w:t>
      </w:r>
      <w:r>
        <w:rPr>
          <w:rStyle w:val="NormalTok"/>
        </w:rPr>
        <w:t>.tar.gz</w:t>
      </w:r>
      <w:r>
        <w:rPr/>
        <w:br/>
        <w:br/>
      </w:r>
      <w:r>
        <w:rPr>
          <w:rStyle w:val="FunctionTok"/>
        </w:rPr>
        <w:t>sudo</w:t>
      </w:r>
      <w:r>
        <w:rPr>
          <w:rStyle w:val="NormalTok"/>
        </w:rPr>
        <w:t xml:space="preserve"> systemctl start smartcampus-api</w:t>
      </w:r>
    </w:p>
    <w:p>
      <w:pPr>
        <w:pStyle w:val="FirstParagraph"/>
        <w:rPr/>
      </w:pPr>
      <w:r>
        <w:rPr>
          <w:b/>
          <w:bCs/>
        </w:rPr>
        <w:t>Testez la restauration</w:t>
      </w:r>
      <w:r>
        <w:rPr/>
        <w:t xml:space="preserve"> au moins une fois sur un serveur de test : une sauvegarde jamais testée n’est pas une sauvegarde.</w:t>
      </w:r>
      <w:bookmarkEnd w:id="394"/>
      <w:bookmarkEnd w:id="400"/>
    </w:p>
    <w:p>
      <w:pPr>
        <w:pStyle w:val="Heading2"/>
        <w:rPr/>
      </w:pPr>
      <w:bookmarkStart w:id="401" w:name="__RefHeading___Toc15210_1458957718"/>
      <w:bookmarkStart w:id="402" w:name="mettre-à-jour-la-plateforme"/>
      <w:bookmarkEnd w:id="401"/>
      <w:r>
        <w:rPr/>
        <w:t>Mettre à jour la plateforme</w:t>
      </w:r>
    </w:p>
    <w:p>
      <w:pPr>
        <w:pStyle w:val="FirstParagraph"/>
        <w:rPr/>
      </w:pPr>
      <w:r>
        <w:rPr/>
        <w:t>À faire lorsqu’une nouvelle version du code est disponible. Prévoyez un créneau où peu de personnes utilisent la plateforme (le service est interrompu une à deux minutes).</w:t>
      </w:r>
    </w:p>
    <w:p>
      <w:pPr>
        <w:pStyle w:val="Heading3"/>
        <w:rPr/>
      </w:pPr>
      <w:bookmarkStart w:id="403" w:name="procédure"/>
      <w:bookmarkEnd w:id="403"/>
      <w:r>
        <w:rPr/>
        <w:t>Procédure</w:t>
      </w:r>
    </w:p>
    <w:p>
      <w:pPr>
        <w:pStyle w:val="SourceCode"/>
        <w:rPr/>
      </w:pPr>
      <w:r>
        <w:rPr>
          <w:rStyle w:val="BuiltInTok"/>
        </w:rPr>
        <w:t>cd</w:t>
      </w:r>
      <w:r>
        <w:rPr>
          <w:rStyle w:val="NormalTok"/>
        </w:rPr>
        <w:t xml:space="preserve"> /home/bitnami/istc-projects</w:t>
      </w:r>
      <w:r>
        <w:rPr/>
        <w:br/>
        <w:br/>
      </w:r>
      <w:r>
        <w:rPr>
          <w:rStyle w:val="CommentTok"/>
        </w:rPr>
        <w:t># 1. Sauvegarder AVANT toute mise à jour</w:t>
      </w:r>
      <w:r>
        <w:rPr/>
        <w:br/>
      </w:r>
      <w:r>
        <w:rPr>
          <w:rStyle w:val="FunctionTok"/>
        </w:rPr>
        <w:t>bash</w:t>
      </w:r>
      <w:r>
        <w:rPr>
          <w:rStyle w:val="NormalTok"/>
        </w:rPr>
        <w:t xml:space="preserve"> back-istc/scripts/backup_cron.sh</w:t>
      </w:r>
      <w:r>
        <w:rPr/>
        <w:br/>
        <w:br/>
      </w:r>
      <w:r>
        <w:rPr>
          <w:rStyle w:val="CommentTok"/>
        </w:rPr>
        <w:t># 2. Récupérer le nouveau code</w:t>
      </w:r>
      <w:r>
        <w:rPr/>
        <w:br/>
      </w:r>
      <w:r>
        <w:rPr>
          <w:rStyle w:val="FunctionTok"/>
        </w:rPr>
        <w:t>git</w:t>
      </w:r>
      <w:r>
        <w:rPr>
          <w:rStyle w:val="NormalTok"/>
        </w:rPr>
        <w:t xml:space="preserve"> pull</w:t>
      </w:r>
      <w:r>
        <w:rPr/>
        <w:br/>
        <w:br/>
      </w:r>
      <w:r>
        <w:rPr>
          <w:rStyle w:val="CommentTok"/>
        </w:rPr>
        <w:t># 3. Backend</w:t>
      </w:r>
      <w:r>
        <w:rPr/>
        <w:br/>
      </w:r>
      <w:r>
        <w:rPr>
          <w:rStyle w:val="BuiltInTok"/>
        </w:rPr>
        <w:t>cd</w:t>
      </w:r>
      <w:r>
        <w:rPr>
          <w:rStyle w:val="NormalTok"/>
        </w:rPr>
        <w:t xml:space="preserve"> back-istc</w:t>
      </w:r>
      <w:r>
        <w:rPr/>
        <w:br/>
      </w:r>
      <w:r>
        <w:rPr>
          <w:rStyle w:val="BuiltInTok"/>
        </w:rPr>
        <w:t>source</w:t>
      </w:r>
      <w:r>
        <w:rPr>
          <w:rStyle w:val="NormalTok"/>
        </w:rPr>
        <w:t xml:space="preserve"> venv/bin/activate</w:t>
      </w:r>
      <w:r>
        <w:rPr/>
        <w:br/>
      </w:r>
      <w:r>
        <w:rPr>
          <w:rStyle w:val="ExtensionTok"/>
        </w:rPr>
        <w:t>pip</w:t>
      </w:r>
      <w:r>
        <w:rPr>
          <w:rStyle w:val="NormalTok"/>
        </w:rPr>
        <w:t xml:space="preserve"> install </w:t>
      </w:r>
      <w:r>
        <w:rPr>
          <w:rStyle w:val="AttributeTok"/>
        </w:rPr>
        <w:t>-r</w:t>
      </w:r>
      <w:r>
        <w:rPr>
          <w:rStyle w:val="NormalTok"/>
        </w:rPr>
        <w:t xml:space="preserve"> requirements.txt gunicorn</w:t>
      </w:r>
      <w:r>
        <w:rPr/>
        <w:br/>
      </w:r>
      <w:r>
        <w:rPr>
          <w:rStyle w:val="ExtensionTok"/>
        </w:rPr>
        <w:t>python</w:t>
      </w:r>
      <w:r>
        <w:rPr>
          <w:rStyle w:val="NormalTok"/>
        </w:rPr>
        <w:t xml:space="preserve"> manage.py migrate            </w:t>
      </w:r>
      <w:r>
        <w:rPr>
          <w:rStyle w:val="CommentTok"/>
        </w:rPr>
        <w:t># applique les changements de structure de la base</w:t>
      </w:r>
      <w:r>
        <w:rPr/>
        <w:br/>
      </w:r>
      <w:r>
        <w:rPr>
          <w:rStyle w:val="ExtensionTok"/>
        </w:rPr>
        <w:t>python</w:t>
      </w:r>
      <w:r>
        <w:rPr>
          <w:rStyle w:val="NormalTok"/>
        </w:rPr>
        <w:t xml:space="preserve"> manage.py collectstatic </w:t>
      </w:r>
      <w:r>
        <w:rPr>
          <w:rStyle w:val="AttributeTok"/>
        </w:rPr>
        <w:t>--noinput</w:t>
      </w:r>
      <w:r>
        <w:rPr/>
        <w:br/>
      </w:r>
      <w:r>
        <w:rPr>
          <w:rStyle w:val="ExtensionTok"/>
        </w:rPr>
        <w:t>python</w:t>
      </w:r>
      <w:r>
        <w:rPr>
          <w:rStyle w:val="NormalTok"/>
        </w:rPr>
        <w:t xml:space="preserve"> manage.py audit_droits      </w:t>
      </w:r>
      <w:r>
        <w:rPr>
          <w:rStyle w:val="CommentTok"/>
        </w:rPr>
        <w:t># vérifie les droits de chaque compte du personnel</w:t>
      </w:r>
      <w:r>
        <w:rPr/>
        <w:br/>
      </w:r>
      <w:r>
        <w:rPr>
          <w:rStyle w:val="ExtensionTok"/>
        </w:rPr>
        <w:t>python</w:t>
      </w:r>
      <w:r>
        <w:rPr>
          <w:rStyle w:val="NormalTok"/>
        </w:rPr>
        <w:t xml:space="preserve"> </w:t>
      </w:r>
      <w:r>
        <w:rPr>
          <w:rStyle w:val="AttributeTok"/>
        </w:rPr>
        <w:t>-m</w:t>
      </w:r>
      <w:r>
        <w:rPr>
          <w:rStyle w:val="NormalTok"/>
        </w:rPr>
        <w:t xml:space="preserve"> pytest </w:t>
      </w:r>
      <w:r>
        <w:rPr>
          <w:rStyle w:val="AttributeTok"/>
        </w:rPr>
        <w:t>-q</w:t>
      </w:r>
      <w:r>
        <w:rPr>
          <w:rStyle w:val="NormalTok"/>
        </w:rPr>
        <w:t xml:space="preserve">                 </w:t>
      </w:r>
      <w:r>
        <w:rPr>
          <w:rStyle w:val="CommentTok"/>
        </w:rPr>
        <w:t># facultatif : vérifie que tout fonctionne (2 à 3 min)</w:t>
      </w:r>
      <w:r>
        <w:rPr/>
        <w:br/>
      </w:r>
      <w:r>
        <w:rPr>
          <w:rStyle w:val="FunctionTok"/>
        </w:rPr>
        <w:t>sudo</w:t>
      </w:r>
      <w:r>
        <w:rPr>
          <w:rStyle w:val="NormalTok"/>
        </w:rPr>
        <w:t xml:space="preserve"> systemctl restart smartcampus-api</w:t>
      </w:r>
      <w:r>
        <w:rPr/>
        <w:br/>
        <w:br/>
      </w:r>
      <w:r>
        <w:rPr>
          <w:rStyle w:val="CommentTok"/>
        </w:rPr>
        <w:t># 4. Frontend</w:t>
      </w:r>
      <w:r>
        <w:rPr/>
        <w:br/>
      </w:r>
      <w:r>
        <w:rPr>
          <w:rStyle w:val="BuiltInTok"/>
        </w:rPr>
        <w:t>cd</w:t>
      </w:r>
      <w:r>
        <w:rPr>
          <w:rStyle w:val="NormalTok"/>
        </w:rPr>
        <w:t xml:space="preserve"> ../frontend</w:t>
      </w:r>
      <w:r>
        <w:rPr/>
        <w:br/>
      </w:r>
      <w:r>
        <w:rPr>
          <w:rStyle w:val="ExtensionTok"/>
        </w:rPr>
        <w:t>npm</w:t>
      </w:r>
      <w:r>
        <w:rPr>
          <w:rStyle w:val="NormalTok"/>
        </w:rPr>
        <w:t xml:space="preserve"> ci</w:t>
      </w:r>
      <w:r>
        <w:rPr/>
        <w:br/>
      </w:r>
      <w:r>
        <w:rPr>
          <w:rStyle w:val="ExtensionTok"/>
        </w:rPr>
        <w:t>npm</w:t>
      </w:r>
      <w:r>
        <w:rPr>
          <w:rStyle w:val="NormalTok"/>
        </w:rPr>
        <w:t xml:space="preserve"> run build</w:t>
      </w:r>
      <w:r>
        <w:rPr/>
        <w:br/>
      </w:r>
      <w:r>
        <w:rPr>
          <w:rStyle w:val="FunctionTok"/>
        </w:rPr>
        <w:t>sudo</w:t>
      </w:r>
      <w:r>
        <w:rPr>
          <w:rStyle w:val="NormalTok"/>
        </w:rPr>
        <w:t xml:space="preserve"> systemctl restart smartcampus-web</w:t>
      </w:r>
    </w:p>
    <w:p>
      <w:pPr>
        <w:pStyle w:val="EncadreDanger"/>
        <w:rPr/>
      </w:pPr>
      <w:r>
        <w:rPr>
          <w:b/>
          <w:bCs/>
        </w:rPr>
        <w:t xml:space="preserve">N’oubliez pas </w:t>
      </w:r>
      <w:r>
        <w:rPr>
          <w:rStyle w:val="VerbatimChar"/>
          <w:b/>
          <w:bCs/>
        </w:rPr>
        <w:t>migrate</w:t>
      </w:r>
    </w:p>
    <w:p>
      <w:pPr>
        <w:pStyle w:val="EncadreDanger"/>
        <w:rPr/>
      </w:pPr>
      <w:r>
        <w:rPr/>
        <w:t xml:space="preserve">Si une mise à jour ajoute des tables (par exemple le module des heures des vacataires), oublier </w:t>
      </w:r>
      <w:r>
        <w:rPr>
          <w:rStyle w:val="VerbatimChar"/>
        </w:rPr>
        <w:t>python manage.py migrate</w:t>
      </w:r>
      <w:r>
        <w:rPr/>
        <w:t xml:space="preserve"> provoque des erreurs 500 sur les pages concernées.</w:t>
      </w:r>
    </w:p>
    <w:p>
      <w:pPr>
        <w:pStyle w:val="Normal"/>
        <w:spacing w:before="0" w:after="60"/>
        <w:rPr>
          <w:sz w:val="8"/>
        </w:rPr>
      </w:pPr>
      <w:r>
        <w:rPr>
          <w:sz w:val="8"/>
        </w:rPr>
      </w:r>
      <w:bookmarkStart w:id="404" w:name="procédure"/>
      <w:bookmarkStart w:id="405" w:name="procédure"/>
      <w:bookmarkEnd w:id="405"/>
    </w:p>
    <w:p>
      <w:pPr>
        <w:pStyle w:val="Heading3"/>
        <w:rPr/>
      </w:pPr>
      <w:bookmarkStart w:id="406" w:name="vérifier-après-la-mise-à-jour"/>
      <w:r>
        <w:rPr/>
        <w:t>Vérifier après la mise à jour</w:t>
      </w:r>
    </w:p>
    <w:p>
      <w:pPr>
        <w:pStyle w:val="Compact"/>
        <w:numPr>
          <w:ilvl w:val="0"/>
          <w:numId w:val="465"/>
        </w:numPr>
        <w:rPr/>
      </w:pPr>
      <w:r>
        <w:rPr/>
        <w:t xml:space="preserve">☐ </w:t>
      </w:r>
      <w:r>
        <w:rPr>
          <w:rStyle w:val="VerbatimChar"/>
        </w:rPr>
        <w:t>sudo systemctl status smartcampus-api smartcampus-web</w:t>
      </w:r>
      <w:r>
        <w:rPr/>
        <w:t xml:space="preserve"> : les deux services sont « active (running) ».</w:t>
      </w:r>
    </w:p>
    <w:p>
      <w:pPr>
        <w:pStyle w:val="Compact"/>
        <w:numPr>
          <w:ilvl w:val="0"/>
          <w:numId w:val="466"/>
        </w:numPr>
        <w:rPr/>
      </w:pPr>
      <w:r>
        <w:rPr/>
        <w:t xml:space="preserve">☐ </w:t>
      </w:r>
      <w:r>
        <w:rPr/>
        <w:t>La page de connexion s’affiche et la connexion fonctionne.</w:t>
      </w:r>
    </w:p>
    <w:p>
      <w:pPr>
        <w:pStyle w:val="Compact"/>
        <w:numPr>
          <w:ilvl w:val="0"/>
          <w:numId w:val="467"/>
        </w:numPr>
        <w:rPr/>
      </w:pPr>
      <w:r>
        <w:rPr/>
        <w:t xml:space="preserve">☐ </w:t>
      </w:r>
      <w:r>
        <w:rPr/>
        <w:t>Le tableau de bord se charge.</w:t>
      </w:r>
      <w:bookmarkEnd w:id="406"/>
    </w:p>
    <w:p>
      <w:pPr>
        <w:pStyle w:val="Heading3"/>
        <w:rPr/>
      </w:pPr>
      <w:bookmarkStart w:id="407" w:name="revenir-en-arrière"/>
      <w:r>
        <w:rPr/>
        <w:t>Revenir en arrière</w:t>
      </w:r>
    </w:p>
    <w:p>
      <w:pPr>
        <w:pStyle w:val="SourceCode"/>
        <w:rPr/>
      </w:pPr>
      <w:r>
        <w:rPr>
          <w:rStyle w:val="FunctionTok"/>
        </w:rPr>
        <w:t>git</w:t>
      </w:r>
      <w:r>
        <w:rPr>
          <w:rStyle w:val="NormalTok"/>
        </w:rPr>
        <w:t xml:space="preserve"> log </w:t>
      </w:r>
      <w:r>
        <w:rPr>
          <w:rStyle w:val="AttributeTok"/>
        </w:rPr>
        <w:t>--oneline</w:t>
      </w:r>
      <w:r>
        <w:rPr>
          <w:rStyle w:val="NormalTok"/>
        </w:rPr>
        <w:t xml:space="preserve"> </w:t>
      </w:r>
      <w:r>
        <w:rPr>
          <w:rStyle w:val="AttributeTok"/>
        </w:rPr>
        <w:t>-5</w:t>
      </w:r>
      <w:r>
        <w:rPr>
          <w:rStyle w:val="NormalTok"/>
        </w:rPr>
        <w:t xml:space="preserve">           </w:t>
      </w:r>
      <w:r>
        <w:rPr>
          <w:rStyle w:val="CommentTok"/>
        </w:rPr>
        <w:t># repérer la version précédente</w:t>
      </w:r>
      <w:r>
        <w:rPr/>
        <w:br/>
      </w:r>
      <w:r>
        <w:rPr>
          <w:rStyle w:val="FunctionTok"/>
        </w:rPr>
        <w:t>git</w:t>
      </w:r>
      <w:r>
        <w:rPr>
          <w:rStyle w:val="NormalTok"/>
        </w:rPr>
        <w:t xml:space="preserve"> checkout </w:t>
      </w:r>
      <w:r>
        <w:rPr>
          <w:rStyle w:val="OperatorTok"/>
        </w:rPr>
        <w:t>&lt;</w:t>
      </w:r>
      <w:r>
        <w:rPr>
          <w:rStyle w:val="NormalTok"/>
        </w:rPr>
        <w:t>identifiant</w:t>
      </w:r>
      <w:r>
        <w:rPr>
          <w:rStyle w:val="OperatorTok"/>
        </w:rPr>
        <w:t>&gt;</w:t>
      </w:r>
      <w:r>
        <w:rPr>
          <w:rStyle w:val="NormalTok"/>
        </w:rPr>
        <w:t xml:space="preserve">     # revenir à cette version</w:t>
      </w:r>
    </w:p>
    <w:p>
      <w:pPr>
        <w:pStyle w:val="FirstParagraph"/>
        <w:rPr/>
      </w:pPr>
      <w:bookmarkStart w:id="408" w:name="mettre-à-jour-la-plateforme"/>
      <w:bookmarkStart w:id="409" w:name="revenir-en-arrière"/>
      <w:r>
        <w:rPr/>
        <w:t>Puis refaites les étapes 3 et 4. Si des migrations avaient été appliquées, restaurez la sauvegarde de l’étape 1 (voir Sauvegardes).</w:t>
      </w:r>
      <w:bookmarkEnd w:id="408"/>
      <w:bookmarkEnd w:id="409"/>
    </w:p>
    <w:p>
      <w:pPr>
        <w:pStyle w:val="Heading2"/>
        <w:rPr/>
      </w:pPr>
      <w:bookmarkStart w:id="410" w:name="__RefHeading___Toc15212_1458957718"/>
      <w:bookmarkStart w:id="411" w:name="dépannage"/>
      <w:bookmarkEnd w:id="410"/>
      <w:r>
        <w:rPr/>
        <w:t>Dépannage</w:t>
      </w:r>
    </w:p>
    <w:p>
      <w:pPr>
        <w:pStyle w:val="Heading3"/>
        <w:rPr/>
      </w:pPr>
      <w:r>
        <w:rPr/>
        <w:t>Où regarder en premier</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5712"/>
        <w:gridCol w:w="3925"/>
      </w:tblGrid>
      <w:tr>
        <w:trPr>
          <w:tblHeader w:val="true"/>
          <w:cantSplit w:val="true"/>
        </w:trPr>
        <w:tc>
          <w:tcPr>
            <w:tcW w:w="571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Commande</w:t>
            </w:r>
          </w:p>
        </w:tc>
        <w:tc>
          <w:tcPr>
            <w:tcW w:w="392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Ce qu’elle montre</w:t>
            </w:r>
          </w:p>
        </w:tc>
      </w:tr>
      <w:tr>
        <w:trPr>
          <w:cantSplit w:val="true"/>
        </w:trPr>
        <w:tc>
          <w:tcPr>
            <w:tcW w:w="571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sudo systemctl status smartcampus-api</w:t>
            </w:r>
          </w:p>
        </w:tc>
        <w:tc>
          <w:tcPr>
            <w:tcW w:w="392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L’API tourne-t-elle ?</w:t>
            </w:r>
          </w:p>
        </w:tc>
      </w:tr>
      <w:tr>
        <w:trPr>
          <w:cantSplit w:val="true"/>
        </w:trPr>
        <w:tc>
          <w:tcPr>
            <w:tcW w:w="571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sudo journalctl -u smartcampus-api -n 100 --no-pager</w:t>
            </w:r>
          </w:p>
        </w:tc>
        <w:tc>
          <w:tcPr>
            <w:tcW w:w="392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Les 100 dernières lignes du journal de l’API (erreurs Python)</w:t>
            </w:r>
          </w:p>
        </w:tc>
      </w:tr>
      <w:tr>
        <w:trPr>
          <w:cantSplit w:val="true"/>
        </w:trPr>
        <w:tc>
          <w:tcPr>
            <w:tcW w:w="571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sudo journalctl -u smartcampus-web -n 100 --no-pager</w:t>
            </w:r>
          </w:p>
        </w:tc>
        <w:tc>
          <w:tcPr>
            <w:tcW w:w="392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Journal du frontend</w:t>
            </w:r>
          </w:p>
        </w:tc>
      </w:tr>
      <w:tr>
        <w:trPr>
          <w:cantSplit w:val="true"/>
        </w:trPr>
        <w:tc>
          <w:tcPr>
            <w:tcW w:w="571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sudo tail -n 50 /var/log/nginx/error.log</w:t>
            </w:r>
          </w:p>
        </w:tc>
        <w:tc>
          <w:tcPr>
            <w:tcW w:w="392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Erreurs du serveur web</w:t>
            </w:r>
          </w:p>
        </w:tc>
      </w:tr>
      <w:tr>
        <w:trPr>
          <w:cantSplit w:val="true"/>
        </w:trPr>
        <w:tc>
          <w:tcPr>
            <w:tcW w:w="571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Navigateur : </w:t>
            </w:r>
            <w:r>
              <w:rPr>
                <w:rFonts w:eastAsia="Calibri" w:cs="Calibri"/>
                <w:b/>
                <w:bCs/>
                <w:kern w:val="0"/>
                <w:sz w:val="19"/>
                <w:szCs w:val="19"/>
                <w:lang w:val="fr-FR" w:eastAsia="en-US" w:bidi="ar-SA"/>
              </w:rPr>
              <w:t>F12</w:t>
            </w:r>
            <w:r>
              <w:rPr>
                <w:rFonts w:eastAsia="Calibri" w:cs="Calibri"/>
                <w:kern w:val="0"/>
                <w:sz w:val="19"/>
                <w:szCs w:val="19"/>
                <w:lang w:val="fr-FR" w:eastAsia="en-US" w:bidi="ar-SA"/>
              </w:rPr>
              <w:t xml:space="preserve"> → onglet </w:t>
            </w:r>
            <w:r>
              <w:rPr>
                <w:rFonts w:eastAsia="Calibri" w:cs="Calibri"/>
                <w:i/>
                <w:iCs/>
                <w:kern w:val="0"/>
                <w:sz w:val="19"/>
                <w:szCs w:val="19"/>
                <w:lang w:val="fr-FR" w:eastAsia="en-US" w:bidi="ar-SA"/>
              </w:rPr>
              <w:t>Console</w:t>
            </w:r>
            <w:r>
              <w:rPr>
                <w:rFonts w:eastAsia="Calibri" w:cs="Calibri"/>
                <w:kern w:val="0"/>
                <w:sz w:val="19"/>
                <w:szCs w:val="19"/>
                <w:lang w:val="fr-FR" w:eastAsia="en-US" w:bidi="ar-SA"/>
              </w:rPr>
              <w:t xml:space="preserve"> / </w:t>
            </w:r>
            <w:r>
              <w:rPr>
                <w:rFonts w:eastAsia="Calibri" w:cs="Calibri"/>
                <w:i/>
                <w:iCs/>
                <w:kern w:val="0"/>
                <w:sz w:val="19"/>
                <w:szCs w:val="19"/>
                <w:lang w:val="fr-FR" w:eastAsia="en-US" w:bidi="ar-SA"/>
              </w:rPr>
              <w:t>Réseau</w:t>
            </w:r>
          </w:p>
        </w:tc>
        <w:tc>
          <w:tcPr>
            <w:tcW w:w="392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L’erreur exacte renvoyée à l’écran (code 400, 401, 403, 404, 500)</w:t>
            </w:r>
            <w:bookmarkStart w:id="412" w:name="où-regarder-en-premier"/>
            <w:bookmarkEnd w:id="412"/>
          </w:p>
        </w:tc>
      </w:tr>
    </w:tbl>
    <w:p>
      <w:pPr>
        <w:pStyle w:val="Heading3"/>
        <w:rPr/>
      </w:pPr>
      <w:r>
        <w:rPr/>
        <w:t>Erreurs fréquentes</w:t>
      </w:r>
    </w:p>
    <w:p>
      <w:pPr>
        <w:pStyle w:val="Heading4"/>
        <w:rPr/>
      </w:pPr>
      <w:bookmarkStart w:id="413" w:name="hôte-interdit-disallowedhost"/>
      <w:r>
        <w:rPr/>
        <w:t>Hôte interdit (DisallowedHost)</w:t>
      </w:r>
    </w:p>
    <w:p>
      <w:pPr>
        <w:pStyle w:val="FirstParagraph"/>
        <w:rPr/>
      </w:pPr>
      <w:r>
        <w:rPr>
          <w:b/>
          <w:bCs/>
        </w:rPr>
        <w:t>Symptôme :</w:t>
      </w:r>
      <w:r>
        <w:rPr/>
        <w:t xml:space="preserve"> « Invalid HTTP_HOST header: ‘smartcampus.exemple.cm’ » dans le journal, ou erreur 400 sur toutes les requêtes.</w:t>
      </w:r>
    </w:p>
    <w:p>
      <w:pPr>
        <w:pStyle w:val="BodyText"/>
        <w:rPr/>
      </w:pPr>
      <w:r>
        <w:rPr>
          <w:b/>
          <w:bCs/>
        </w:rPr>
        <w:t>Cause :</w:t>
      </w:r>
      <w:r>
        <w:rPr/>
        <w:t xml:space="preserve"> le domaine n’est pas dans </w:t>
      </w:r>
      <w:r>
        <w:rPr>
          <w:rStyle w:val="VerbatimChar"/>
        </w:rPr>
        <w:t>ALLOWED_HOSTS</w:t>
      </w:r>
      <w:r>
        <w:rPr/>
        <w:t>.</w:t>
      </w:r>
    </w:p>
    <w:p>
      <w:pPr>
        <w:pStyle w:val="BodyText"/>
        <w:rPr/>
      </w:pPr>
      <w:r>
        <w:rPr>
          <w:b/>
          <w:bCs/>
        </w:rPr>
        <w:t>Solution :</w:t>
      </w:r>
      <w:r>
        <w:rPr/>
        <w:t xml:space="preserve"> dans </w:t>
      </w:r>
      <w:r>
        <w:rPr>
          <w:rStyle w:val="VerbatimChar"/>
        </w:rPr>
        <w:t>back-istc/.env</w:t>
      </w:r>
      <w:r>
        <w:rPr/>
        <w:t xml:space="preserve">, ajoutez le domaine </w:t>
      </w:r>
      <w:r>
        <w:rPr>
          <w:b/>
          <w:bCs/>
        </w:rPr>
        <w:t>sans</w:t>
      </w:r>
      <w:r>
        <w:rPr/>
        <w:t xml:space="preserve"> </w:t>
      </w:r>
      <w:r>
        <w:rPr>
          <w:rStyle w:val="VerbatimChar"/>
        </w:rPr>
        <w:t>https://</w:t>
      </w:r>
      <w:r>
        <w:rPr/>
        <w:t xml:space="preserve"> :</w:t>
      </w:r>
    </w:p>
    <w:p>
      <w:pPr>
        <w:pStyle w:val="SourceCode"/>
        <w:rPr/>
      </w:pPr>
      <w:r>
        <w:rPr>
          <w:rStyle w:val="DataTypeTok"/>
        </w:rPr>
        <w:t>ALLOWED_HOSTS</w:t>
      </w:r>
      <w:r>
        <w:rPr>
          <w:rStyle w:val="OtherTok"/>
        </w:rPr>
        <w:t>=</w:t>
      </w:r>
      <w:r>
        <w:rPr>
          <w:rStyle w:val="StringTok"/>
        </w:rPr>
        <w:t>smartcampus.exemple.cm,api.smartcampus.exemple.cm,localhost,127.0.0.1</w:t>
      </w:r>
    </w:p>
    <w:p>
      <w:pPr>
        <w:pStyle w:val="FirstParagraph"/>
        <w:rPr/>
      </w:pPr>
      <w:r>
        <w:rPr/>
        <w:t xml:space="preserve">puis </w:t>
      </w:r>
      <w:r>
        <w:rPr>
          <w:rStyle w:val="VerbatimChar"/>
        </w:rPr>
        <w:t>sudo systemctl restart smartcampus-api</w:t>
      </w:r>
      <w:r>
        <w:rPr/>
        <w:t>.</w:t>
      </w:r>
      <w:bookmarkEnd w:id="413"/>
    </w:p>
    <w:p>
      <w:pPr>
        <w:pStyle w:val="Heading4"/>
        <w:rPr/>
      </w:pPr>
      <w:bookmarkStart w:id="414" w:name="Xb5071845af16b5fdc1875e8d2f92f798b7386f4"/>
      <w:r>
        <w:rPr/>
        <w:t>Erreur CORS dans la console du navigateur</w:t>
      </w:r>
    </w:p>
    <w:p>
      <w:pPr>
        <w:pStyle w:val="FirstParagraph"/>
        <w:rPr/>
      </w:pPr>
      <w:r>
        <w:rPr>
          <w:b/>
          <w:bCs/>
        </w:rPr>
        <w:t>Symptôme :</w:t>
      </w:r>
      <w:r>
        <w:rPr/>
        <w:t xml:space="preserve"> « blocked by CORS policy » ; la page de connexion ne réagit pas.</w:t>
      </w:r>
    </w:p>
    <w:p>
      <w:pPr>
        <w:pStyle w:val="BodyText"/>
        <w:rPr/>
      </w:pPr>
      <w:r>
        <w:rPr>
          <w:b/>
          <w:bCs/>
        </w:rPr>
        <w:t>Cause :</w:t>
      </w:r>
      <w:r>
        <w:rPr/>
        <w:t xml:space="preserve"> l’adresse de l’interface n’est pas autorisée par l’API.</w:t>
      </w:r>
    </w:p>
    <w:p>
      <w:pPr>
        <w:pStyle w:val="BodyText"/>
        <w:rPr/>
      </w:pPr>
      <w:r>
        <w:rPr>
          <w:b/>
          <w:bCs/>
        </w:rPr>
        <w:t>Solution :</w:t>
      </w:r>
      <w:r>
        <w:rPr/>
        <w:t xml:space="preserve"> </w:t>
      </w:r>
      <w:r>
        <w:rPr>
          <w:rStyle w:val="VerbatimChar"/>
        </w:rPr>
        <w:t>CORS_ALLOWED_ORIGINS=https://smartcampus.exemple.cm</w:t>
      </w:r>
      <w:r>
        <w:rPr/>
        <w:t xml:space="preserve"> (avec </w:t>
      </w:r>
      <w:r>
        <w:rPr>
          <w:rStyle w:val="VerbatimChar"/>
        </w:rPr>
        <w:t>https://</w:t>
      </w:r>
      <w:r>
        <w:rPr/>
        <w:t xml:space="preserve">, sans </w:t>
      </w:r>
      <w:r>
        <w:rPr>
          <w:rStyle w:val="VerbatimChar"/>
        </w:rPr>
        <w:t>/</w:t>
      </w:r>
      <w:r>
        <w:rPr/>
        <w:t xml:space="preserve"> final) dans </w:t>
      </w:r>
      <w:r>
        <w:rPr>
          <w:rStyle w:val="VerbatimChar"/>
        </w:rPr>
        <w:t>back-istc/.env</w:t>
      </w:r>
      <w:r>
        <w:rPr/>
        <w:t>, puis redémarrer l’API.</w:t>
      </w:r>
      <w:bookmarkEnd w:id="414"/>
    </w:p>
    <w:p>
      <w:pPr>
        <w:pStyle w:val="Heading4"/>
        <w:rPr/>
      </w:pPr>
      <w:bookmarkStart w:id="415" w:name="Xa85dc1f4e9ccbde4960ce2f612329f316eb8b8f"/>
      <w:r>
        <w:rPr/>
        <w:t>Impossible de se connecter alors que le mot de passe est bon</w:t>
      </w:r>
    </w:p>
    <w:p>
      <w:pPr>
        <w:pStyle w:val="Compact"/>
        <w:numPr>
          <w:ilvl w:val="0"/>
          <w:numId w:val="468"/>
        </w:numPr>
        <w:rPr/>
      </w:pPr>
      <w:r>
        <w:rPr/>
        <w:t xml:space="preserve">Le message parle de reCAPTCHA ? Vérifiez que </w:t>
      </w:r>
      <w:r>
        <w:rPr>
          <w:b/>
          <w:bCs/>
        </w:rPr>
        <w:t>les deux clés</w:t>
      </w:r>
      <w:r>
        <w:rPr/>
        <w:t xml:space="preserve"> sont cohérentes (Configuration) et que le serveur peut joindre </w:t>
      </w:r>
      <w:r>
        <w:rPr>
          <w:rStyle w:val="VerbatimChar"/>
        </w:rPr>
        <w:t>www.google.com</w:t>
      </w:r>
      <w:r>
        <w:rPr/>
        <w:t xml:space="preserve"> (sinon « Vérification reCAPTCHA indisponible »).</w:t>
      </w:r>
    </w:p>
    <w:p>
      <w:pPr>
        <w:pStyle w:val="Compact"/>
        <w:numPr>
          <w:ilvl w:val="0"/>
          <w:numId w:val="469"/>
        </w:numPr>
        <w:rPr/>
      </w:pPr>
      <w:r>
        <w:rPr/>
        <w:t xml:space="preserve">L’interface appelle-t-elle la bonne API ? Vérifiez </w:t>
      </w:r>
      <w:r>
        <w:rPr>
          <w:rStyle w:val="VerbatimChar"/>
        </w:rPr>
        <w:t>NEXT_PUBLIC_API_BASE_URL</w:t>
      </w:r>
      <w:r>
        <w:rPr/>
        <w:t xml:space="preserve"> puis </w:t>
      </w:r>
      <w:r>
        <w:rPr>
          <w:b/>
          <w:bCs/>
        </w:rPr>
        <w:t>reconstruisez</w:t>
      </w:r>
      <w:r>
        <w:rPr/>
        <w:t xml:space="preserve"> le frontend.</w:t>
      </w:r>
    </w:p>
    <w:p>
      <w:pPr>
        <w:pStyle w:val="Compact"/>
        <w:numPr>
          <w:ilvl w:val="0"/>
          <w:numId w:val="470"/>
        </w:numPr>
        <w:rPr/>
      </w:pPr>
      <w:r>
        <w:rPr/>
        <w:t>Le compte est-il actif ? (</w:t>
      </w:r>
      <w:r>
        <w:rPr>
          <w:b/>
          <w:bCs/>
        </w:rPr>
        <w:t>Système</w:t>
      </w:r>
      <w:r>
        <w:rPr/>
        <w:t xml:space="preserve"> → </w:t>
      </w:r>
      <w:r>
        <w:rPr>
          <w:i/>
          <w:iCs/>
        </w:rPr>
        <w:t>Utilisateurs</w:t>
      </w:r>
      <w:r>
        <w:rPr/>
        <w:t>.)</w:t>
      </w:r>
      <w:bookmarkEnd w:id="415"/>
    </w:p>
    <w:p>
      <w:pPr>
        <w:pStyle w:val="Heading4"/>
        <w:rPr/>
      </w:pPr>
      <w:bookmarkStart w:id="416" w:name="X065587c792ea3b8bbf485199fdd4fff41b931fc"/>
      <w:r>
        <w:rPr/>
        <w:t>La page tourne indéfiniment après la connexion</w:t>
      </w:r>
    </w:p>
    <w:p>
      <w:pPr>
        <w:pStyle w:val="Compact"/>
        <w:numPr>
          <w:ilvl w:val="0"/>
          <w:numId w:val="471"/>
        </w:numPr>
        <w:rPr/>
      </w:pPr>
      <w:r>
        <w:rPr/>
        <w:t xml:space="preserve">Videz les données du site : </w:t>
      </w:r>
      <w:r>
        <w:rPr>
          <w:b/>
          <w:bCs/>
        </w:rPr>
        <w:t>F12</w:t>
      </w:r>
      <w:r>
        <w:rPr/>
        <w:t xml:space="preserve"> → </w:t>
      </w:r>
      <w:r>
        <w:rPr>
          <w:i/>
          <w:iCs/>
        </w:rPr>
        <w:t>Application</w:t>
      </w:r>
      <w:r>
        <w:rPr/>
        <w:t xml:space="preserve"> → </w:t>
      </w:r>
      <w:r>
        <w:rPr>
          <w:i/>
          <w:iCs/>
        </w:rPr>
        <w:t>Stockage</w:t>
      </w:r>
      <w:r>
        <w:rPr/>
        <w:t xml:space="preserve"> → « Effacer les données du site », puis reconnectez-vous.</w:t>
      </w:r>
    </w:p>
    <w:p>
      <w:pPr>
        <w:pStyle w:val="Compact"/>
        <w:numPr>
          <w:ilvl w:val="0"/>
          <w:numId w:val="472"/>
        </w:numPr>
        <w:rPr/>
      </w:pPr>
      <w:r>
        <w:rPr/>
        <w:t>Vérifiez que l’année active existe (</w:t>
      </w:r>
      <w:r>
        <w:rPr>
          <w:b/>
          <w:bCs/>
        </w:rPr>
        <w:t>Structure Académique</w:t>
      </w:r>
      <w:r>
        <w:rPr/>
        <w:t xml:space="preserve"> → </w:t>
      </w:r>
      <w:r>
        <w:rPr>
          <w:i/>
          <w:iCs/>
        </w:rPr>
        <w:t>Années Académiques</w:t>
      </w:r>
      <w:r>
        <w:rPr/>
        <w:t>, une année cochée « Est Active »).</w:t>
      </w:r>
    </w:p>
    <w:p>
      <w:pPr>
        <w:pStyle w:val="Compact"/>
        <w:numPr>
          <w:ilvl w:val="0"/>
          <w:numId w:val="473"/>
        </w:numPr>
        <w:rPr/>
      </w:pPr>
      <w:bookmarkStart w:id="417" w:name="X065587c792ea3b8bbf485199fdd4fff41b931fc"/>
      <w:r>
        <w:rPr/>
        <w:t>Consultez le journal de l’API à la recherche d’une erreur 500.</w:t>
      </w:r>
      <w:bookmarkEnd w:id="417"/>
    </w:p>
    <w:p>
      <w:pPr>
        <w:pStyle w:val="Heading4"/>
        <w:rPr/>
      </w:pPr>
      <w:bookmarkStart w:id="418" w:name="X9251b8973b07ad02c993607daac67d1c941b521"/>
      <w:r>
        <w:rPr/>
        <w:t>Erreur 500 sur une page après une mise à jour</w:t>
      </w:r>
    </w:p>
    <w:p>
      <w:pPr>
        <w:pStyle w:val="FirstParagraph"/>
        <w:rPr/>
      </w:pPr>
      <w:r>
        <w:rPr/>
        <w:t>Presque toujours une migration oubliée :</w:t>
      </w:r>
    </w:p>
    <w:p>
      <w:pPr>
        <w:pStyle w:val="SourceCode"/>
        <w:rPr/>
      </w:pPr>
      <w:r>
        <w:rPr>
          <w:rStyle w:val="BuiltInTok"/>
        </w:rPr>
        <w:t>cd</w:t>
      </w:r>
      <w:r>
        <w:rPr>
          <w:rStyle w:val="NormalTok"/>
        </w:rPr>
        <w:t xml:space="preserve"> back-istc </w:t>
      </w:r>
      <w:r>
        <w:rPr>
          <w:rStyle w:val="KeywordTok"/>
        </w:rPr>
        <w:t>&amp;&amp;</w:t>
      </w:r>
      <w:r>
        <w:rPr>
          <w:rStyle w:val="NormalTok"/>
        </w:rPr>
        <w:t xml:space="preserve"> </w:t>
      </w:r>
      <w:r>
        <w:rPr>
          <w:rStyle w:val="BuiltInTok"/>
        </w:rPr>
        <w:t>source</w:t>
      </w:r>
      <w:r>
        <w:rPr>
          <w:rStyle w:val="NormalTok"/>
        </w:rPr>
        <w:t xml:space="preserve"> venv/bin/activate </w:t>
      </w:r>
      <w:r>
        <w:rPr>
          <w:rStyle w:val="KeywordTok"/>
        </w:rPr>
        <w:t>&amp;&amp;</w:t>
      </w:r>
      <w:r>
        <w:rPr>
          <w:rStyle w:val="NormalTok"/>
        </w:rPr>
        <w:t xml:space="preserve"> </w:t>
      </w:r>
      <w:r>
        <w:rPr>
          <w:rStyle w:val="ExtensionTok"/>
        </w:rPr>
        <w:t>python</w:t>
      </w:r>
      <w:r>
        <w:rPr>
          <w:rStyle w:val="NormalTok"/>
        </w:rPr>
        <w:t xml:space="preserve"> manage.py migrate</w:t>
      </w:r>
      <w:r>
        <w:rPr/>
        <w:br/>
      </w:r>
      <w:r>
        <w:rPr>
          <w:rStyle w:val="FunctionTok"/>
        </w:rPr>
        <w:t>sudo</w:t>
      </w:r>
      <w:r>
        <w:rPr>
          <w:rStyle w:val="NormalTok"/>
        </w:rPr>
        <w:t xml:space="preserve"> systemctl restart smartcampus-api</w:t>
      </w:r>
      <w:bookmarkEnd w:id="418"/>
    </w:p>
    <w:p>
      <w:pPr>
        <w:pStyle w:val="Heading4"/>
        <w:rPr/>
      </w:pPr>
      <w:bookmarkStart w:id="419" w:name="X28db9d1cb9e2ce6b4f64766e41d708337bf1d26"/>
      <w:r>
        <w:rPr/>
        <w:t>Les photos, logos ou justificatifs ne s’affichent pas (404)</w:t>
      </w:r>
    </w:p>
    <w:p>
      <w:pPr>
        <w:pStyle w:val="FirstParagraph"/>
        <w:rPr/>
      </w:pPr>
      <w:r>
        <w:rPr/>
        <w:t xml:space="preserve">Avec </w:t>
      </w:r>
      <w:r>
        <w:rPr>
          <w:rStyle w:val="VerbatimChar"/>
        </w:rPr>
        <w:t>DEBUG=False</w:t>
      </w:r>
      <w:r>
        <w:rPr/>
        <w:t xml:space="preserve">, ces fichiers sont servis par Nginx : vérifiez le bloc </w:t>
      </w:r>
      <w:r>
        <w:rPr>
          <w:rStyle w:val="VerbatimChar"/>
        </w:rPr>
        <w:t>location /media/</w:t>
      </w:r>
      <w:r>
        <w:rPr/>
        <w:t xml:space="preserve"> (Mise en ligne) et les droits de lecture du dossier </w:t>
      </w:r>
      <w:r>
        <w:rPr>
          <w:rStyle w:val="VerbatimChar"/>
        </w:rPr>
        <w:t>media/</w:t>
      </w:r>
      <w:r>
        <w:rPr/>
        <w:t>.</w:t>
      </w:r>
      <w:bookmarkEnd w:id="419"/>
    </w:p>
    <w:p>
      <w:pPr>
        <w:pStyle w:val="Heading4"/>
        <w:rPr/>
      </w:pPr>
      <w:bookmarkStart w:id="420" w:name="Xdf406beddcc496297b91cf1bbc9c704c5c14bff"/>
      <w:r>
        <w:rPr/>
        <w:t>« Request Entity Too Large » (413) en déposant un fichier</w:t>
      </w:r>
    </w:p>
    <w:p>
      <w:pPr>
        <w:pStyle w:val="FirstParagraph"/>
        <w:rPr/>
      </w:pPr>
      <w:r>
        <w:rPr/>
        <w:t xml:space="preserve">Augmentez </w:t>
      </w:r>
      <w:r>
        <w:rPr>
          <w:rStyle w:val="VerbatimChar"/>
        </w:rPr>
        <w:t>client_max_body_size</w:t>
      </w:r>
      <w:r>
        <w:rPr/>
        <w:t xml:space="preserve"> dans la configuration Nginx (ex. </w:t>
      </w:r>
      <w:r>
        <w:rPr>
          <w:rStyle w:val="VerbatimChar"/>
        </w:rPr>
        <w:t>25M</w:t>
      </w:r>
      <w:r>
        <w:rPr/>
        <w:t xml:space="preserve">), puis </w:t>
      </w:r>
      <w:r>
        <w:rPr>
          <w:rStyle w:val="VerbatimChar"/>
        </w:rPr>
        <w:t>sudo systemctl reload nginx</w:t>
      </w:r>
      <w:r>
        <w:rPr/>
        <w:t>.</w:t>
      </w:r>
      <w:bookmarkEnd w:id="420"/>
    </w:p>
    <w:p>
      <w:pPr>
        <w:pStyle w:val="Heading4"/>
        <w:rPr/>
      </w:pPr>
      <w:bookmarkStart w:id="421" w:name="X4c75dc1c97fcaf102095be112cbd7e1002d41ff"/>
      <w:r>
        <w:rPr/>
        <w:t>Les utilisateurs voient des pages vides après le changement d’année</w:t>
      </w:r>
    </w:p>
    <w:p>
      <w:pPr>
        <w:pStyle w:val="FirstParagraph"/>
        <w:rPr/>
      </w:pPr>
      <w:r>
        <w:rPr/>
        <w:t xml:space="preserve">Les années non actives ne sont accessibles qu’au super-administrateur. Demandez aux utilisateurs de choisir l’année </w:t>
      </w:r>
      <w:r>
        <w:rPr>
          <w:i/>
          <w:iCs/>
        </w:rPr>
        <w:t>(Active)</w:t>
      </w:r>
      <w:r>
        <w:rPr/>
        <w:t xml:space="preserve"> dans le sélecteur du haut et de recharger la page.</w:t>
      </w:r>
      <w:bookmarkEnd w:id="421"/>
    </w:p>
    <w:p>
      <w:pPr>
        <w:pStyle w:val="Heading4"/>
        <w:rPr/>
      </w:pPr>
      <w:bookmarkStart w:id="422" w:name="accès-refusé-votre-rôle-na-pas-le-droit"/>
      <w:r>
        <w:rPr/>
        <w:t>« Accès refusé : votre rôle n’a pas le droit … »</w:t>
      </w:r>
    </w:p>
    <w:p>
      <w:pPr>
        <w:pStyle w:val="FirstParagraph"/>
        <w:rPr/>
      </w:pPr>
      <w:r>
        <w:rPr/>
        <w:t>Le serveur applique les droits du rôle. Vérifiez le rôle de la personne (</w:t>
      </w:r>
      <w:r>
        <w:rPr>
          <w:b/>
          <w:bCs/>
        </w:rPr>
        <w:t>Système</w:t>
      </w:r>
      <w:r>
        <w:rPr/>
        <w:t xml:space="preserve"> → </w:t>
      </w:r>
      <w:r>
        <w:rPr>
          <w:i/>
          <w:iCs/>
        </w:rPr>
        <w:t>Rôles</w:t>
      </w:r>
      <w:r>
        <w:rPr/>
        <w:t xml:space="preserve">) et donnez-lui le droit </w:t>
      </w:r>
      <w:r>
        <w:rPr>
          <w:b/>
          <w:bCs/>
        </w:rPr>
        <w:t>Lecture</w:t>
      </w:r>
      <w:r>
        <w:rPr/>
        <w:t xml:space="preserve"> ou </w:t>
      </w:r>
      <w:r>
        <w:rPr>
          <w:b/>
          <w:bCs/>
        </w:rPr>
        <w:t>Écriture</w:t>
      </w:r>
      <w:r>
        <w:rPr/>
        <w:t xml:space="preserve"> sur le domaine indiqué dans le message, puis demandez-lui de se reconnecter.</w:t>
      </w:r>
    </w:p>
    <w:p>
      <w:pPr>
        <w:pStyle w:val="BodyText"/>
        <w:rPr/>
      </w:pPr>
      <w:r>
        <w:rPr>
          <w:rStyle w:val="VerbatimChar"/>
        </w:rPr>
        <w:t>python manage.py audit_droits</w:t>
      </w:r>
      <w:r>
        <w:rPr/>
        <w:t xml:space="preserve"> liste tous les comptes du personnel avec leurs droits et signale ceux qui n’en ont aucun.</w:t>
      </w:r>
    </w:p>
    <w:p>
      <w:pPr>
        <w:pStyle w:val="BodyText"/>
        <w:rPr/>
      </w:pPr>
      <w:r>
        <w:rPr/>
        <w:t xml:space="preserve">En cas de blocage général juste après une mise à jour : </w:t>
      </w:r>
      <w:r>
        <w:rPr>
          <w:rStyle w:val="VerbatimChar"/>
        </w:rPr>
        <w:t>CONTROLE_DROITS_PERSONNEL=False</w:t>
      </w:r>
      <w:r>
        <w:rPr/>
        <w:t xml:space="preserve"> dans </w:t>
      </w:r>
      <w:r>
        <w:rPr>
          <w:rStyle w:val="VerbatimChar"/>
        </w:rPr>
        <w:t>back-istc/.env</w:t>
      </w:r>
      <w:r>
        <w:rPr/>
        <w:t xml:space="preserve">, redémarrer l’API, corriger les rôles, puis remettre </w:t>
      </w:r>
      <w:r>
        <w:rPr>
          <w:rStyle w:val="VerbatimChar"/>
        </w:rPr>
        <w:t>True</w:t>
      </w:r>
      <w:r>
        <w:rPr/>
        <w:t>.</w:t>
      </w:r>
      <w:bookmarkEnd w:id="422"/>
    </w:p>
    <w:p>
      <w:pPr>
        <w:pStyle w:val="Heading4"/>
        <w:rPr/>
      </w:pPr>
      <w:bookmarkStart w:id="423" w:name="un-utilisateur-ne-voit-pas-un-menu"/>
      <w:r>
        <w:rPr/>
        <w:t>Un utilisateur ne voit pas un menu</w:t>
      </w:r>
    </w:p>
    <w:p>
      <w:pPr>
        <w:pStyle w:val="FirstParagraph"/>
        <w:rPr/>
      </w:pPr>
      <w:bookmarkStart w:id="424" w:name="un-utilisateur-ne-voit-pas-un-menu"/>
      <w:r>
        <w:rPr/>
        <w:t>Ce n’est pas une panne : son rôle n’a pas le droit correspondant. Voir Rôles et droits d’accès.</w:t>
      </w:r>
      <w:bookmarkEnd w:id="424"/>
    </w:p>
    <w:p>
      <w:pPr>
        <w:pStyle w:val="Heading3"/>
        <w:rPr/>
      </w:pPr>
      <w:bookmarkStart w:id="425" w:name="commandes-utiles"/>
      <w:r>
        <w:rPr/>
        <w:t>Commandes utiles</w:t>
      </w:r>
    </w:p>
    <w:p>
      <w:pPr>
        <w:pStyle w:val="SourceCode"/>
        <w:rPr/>
      </w:pPr>
      <w:r>
        <w:rPr>
          <w:rStyle w:val="BuiltInTok"/>
        </w:rPr>
        <w:t>cd</w:t>
      </w:r>
      <w:r>
        <w:rPr>
          <w:rStyle w:val="NormalTok"/>
        </w:rPr>
        <w:t xml:space="preserve"> /home/bitnami/istc-projects/back-istc </w:t>
      </w:r>
      <w:r>
        <w:rPr>
          <w:rStyle w:val="KeywordTok"/>
        </w:rPr>
        <w:t>&amp;&amp;</w:t>
      </w:r>
      <w:r>
        <w:rPr>
          <w:rStyle w:val="NormalTok"/>
        </w:rPr>
        <w:t xml:space="preserve"> </w:t>
      </w:r>
      <w:r>
        <w:rPr>
          <w:rStyle w:val="BuiltInTok"/>
        </w:rPr>
        <w:t>source</w:t>
      </w:r>
      <w:r>
        <w:rPr>
          <w:rStyle w:val="NormalTok"/>
        </w:rPr>
        <w:t xml:space="preserve"> venv/bin/activate</w:t>
      </w:r>
      <w:r>
        <w:rPr/>
        <w:br/>
        <w:br/>
      </w:r>
      <w:r>
        <w:rPr>
          <w:rStyle w:val="ExtensionTok"/>
        </w:rPr>
        <w:t>python</w:t>
      </w:r>
      <w:r>
        <w:rPr>
          <w:rStyle w:val="NormalTok"/>
        </w:rPr>
        <w:t xml:space="preserve"> manage.py check </w:t>
      </w:r>
      <w:r>
        <w:rPr>
          <w:rStyle w:val="AttributeTok"/>
        </w:rPr>
        <w:t>--deploy</w:t>
      </w:r>
      <w:r>
        <w:rPr>
          <w:rStyle w:val="NormalTok"/>
        </w:rPr>
        <w:t xml:space="preserve">          </w:t>
      </w:r>
      <w:r>
        <w:rPr>
          <w:rStyle w:val="CommentTok"/>
        </w:rPr>
        <w:t># contrôle de la configuration de production</w:t>
      </w:r>
      <w:r>
        <w:rPr/>
        <w:br/>
      </w:r>
      <w:r>
        <w:rPr>
          <w:rStyle w:val="ExtensionTok"/>
        </w:rPr>
        <w:t>python</w:t>
      </w:r>
      <w:r>
        <w:rPr>
          <w:rStyle w:val="NormalTok"/>
        </w:rPr>
        <w:t xml:space="preserve"> manage.py createsuperuser         </w:t>
      </w:r>
      <w:r>
        <w:rPr>
          <w:rStyle w:val="CommentTok"/>
        </w:rPr>
        <w:t># créer un nouveau super-administrateur</w:t>
      </w:r>
      <w:r>
        <w:rPr/>
        <w:br/>
      </w:r>
      <w:r>
        <w:rPr>
          <w:rStyle w:val="ExtensionTok"/>
        </w:rPr>
        <w:t>python</w:t>
      </w:r>
      <w:r>
        <w:rPr>
          <w:rStyle w:val="NormalTok"/>
        </w:rPr>
        <w:t xml:space="preserve"> manage.py changepassword </w:t>
      </w:r>
      <w:r>
        <w:rPr>
          <w:rStyle w:val="OperatorTok"/>
        </w:rPr>
        <w:t>&lt;</w:t>
      </w:r>
      <w:r>
        <w:rPr>
          <w:rStyle w:val="NormalTok"/>
        </w:rPr>
        <w:t>nom</w:t>
      </w:r>
      <w:r>
        <w:rPr>
          <w:rStyle w:val="OperatorTok"/>
        </w:rPr>
        <w:t>&gt;</w:t>
      </w:r>
      <w:r>
        <w:rPr>
          <w:rStyle w:val="NormalTok"/>
        </w:rPr>
        <w:t xml:space="preserve">    # changer le mot de passe d</w:t>
      </w:r>
      <w:r>
        <w:rPr>
          <w:rStyle w:val="StringTok"/>
        </w:rPr>
        <w:t>'un compte</w:t>
      </w:r>
      <w:r>
        <w:rPr/>
        <w:br/>
      </w:r>
      <w:r>
        <w:rPr>
          <w:rStyle w:val="StringTok"/>
        </w:rPr>
        <w:t>python manage.py showmigrations | grep "\[ \]"   # migrations non appliquées</w:t>
      </w:r>
      <w:r>
        <w:rPr/>
        <w:br/>
      </w:r>
      <w:r>
        <w:rPr>
          <w:rStyle w:val="StringTok"/>
        </w:rPr>
        <w:t>python -m pytest -q                      # lancer les tests automatiques</w:t>
      </w:r>
      <w:bookmarkEnd w:id="425"/>
    </w:p>
    <w:p>
      <w:pPr>
        <w:pStyle w:val="Heading3"/>
        <w:rPr/>
      </w:pPr>
      <w:bookmarkStart w:id="426" w:name="interface-dadministration-technique"/>
      <w:r>
        <w:rPr/>
        <w:t>Interface d’administration technique</w:t>
      </w:r>
    </w:p>
    <w:p>
      <w:pPr>
        <w:pStyle w:val="FirstParagraph"/>
        <w:rPr/>
      </w:pPr>
      <w:r>
        <w:rPr>
          <w:rStyle w:val="VerbatimChar"/>
        </w:rPr>
        <w:t>https://api.smartcampus.exemple.cm/admin/</w:t>
      </w:r>
      <w:r>
        <w:rPr/>
        <w:t xml:space="preserve"> donne accès, pour le </w:t>
      </w:r>
      <w:r>
        <w:rPr>
          <w:b/>
          <w:bCs/>
        </w:rPr>
        <w:t>super-administrateur</w:t>
      </w:r>
      <w:r>
        <w:rPr/>
        <w:t>, à toutes les tables (corrections exceptionnelles, sanctions disciplinaires, paiements). À utiliser avec prudence : les contrôles de l’application n’y sont pas tous appliqués.</w:t>
      </w:r>
      <w:bookmarkEnd w:id="348"/>
      <w:bookmarkEnd w:id="411"/>
      <w:bookmarkEnd w:id="426"/>
    </w:p>
    <w:p>
      <w:pPr>
        <w:pStyle w:val="Heading1"/>
        <w:rPr/>
      </w:pPr>
      <w:bookmarkStart w:id="427" w:name="__RefHeading___Toc15214_1458957718"/>
      <w:bookmarkStart w:id="428" w:name="partie-3-documentation-développeurs"/>
      <w:bookmarkEnd w:id="427"/>
      <w:r>
        <w:rPr/>
        <w:t>Partie 3 — Documentation développeurs</w:t>
      </w:r>
    </w:p>
    <w:p>
      <w:pPr>
        <w:pStyle w:val="Heading2"/>
        <w:rPr/>
      </w:pPr>
      <w:bookmarkStart w:id="429" w:name="__RefHeading___Toc15216_1458957718"/>
      <w:bookmarkStart w:id="430" w:name="documentation-développeurs"/>
      <w:bookmarkEnd w:id="429"/>
      <w:r>
        <w:rPr/>
        <w:t>Documentation développeurs</w:t>
      </w:r>
    </w:p>
    <w:p>
      <w:pPr>
        <w:pStyle w:val="FirstParagraph"/>
        <w:rPr/>
      </w:pPr>
      <w:r>
        <w:rPr/>
        <w:t>Cette partie s’adresse à l’équipe qui maintient et fait évoluer SmartCampus.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398"/>
        <w:gridCol w:w="6239"/>
      </w:tblGrid>
      <w:tr>
        <w:trPr>
          <w:tblHeader w:val="true"/>
          <w:cantSplit w:val="true"/>
        </w:trPr>
        <w:tc>
          <w:tcPr>
            <w:tcW w:w="339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Page</w:t>
            </w:r>
          </w:p>
        </w:tc>
        <w:tc>
          <w:tcPr>
            <w:tcW w:w="623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Contenu</w:t>
            </w:r>
          </w:p>
        </w:tc>
      </w:tr>
      <w:tr>
        <w:trPr>
          <w:cantSplit w:val="true"/>
        </w:trPr>
        <w:tc>
          <w:tcPr>
            <w:tcW w:w="33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Architecture</w:t>
            </w:r>
          </w:p>
        </w:tc>
        <w:tc>
          <w:tcPr>
            <w:tcW w:w="62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Vue d’ensemble backend / frontend, flux d’une requête, année académique</w:t>
            </w:r>
          </w:p>
        </w:tc>
      </w:tr>
      <w:tr>
        <w:trPr>
          <w:cantSplit w:val="true"/>
        </w:trPr>
        <w:tc>
          <w:tcPr>
            <w:tcW w:w="33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Carte des applications</w:t>
            </w:r>
          </w:p>
        </w:tc>
        <w:tc>
          <w:tcPr>
            <w:tcW w:w="62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À quoi sert chaque app Django et chaque dossier du frontend</w:t>
            </w:r>
          </w:p>
        </w:tc>
      </w:tr>
      <w:tr>
        <w:trPr>
          <w:cantSplit w:val="true"/>
        </w:trPr>
        <w:tc>
          <w:tcPr>
            <w:tcW w:w="33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Permissions et cloisonnement</w:t>
            </w:r>
          </w:p>
        </w:tc>
        <w:tc>
          <w:tcPr>
            <w:tcW w:w="62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Rôles, </w:t>
            </w:r>
            <w:r>
              <w:rPr>
                <w:rStyle w:val="VerbatimChar"/>
                <w:rFonts w:eastAsia="Calibri" w:cs="Calibri"/>
                <w:kern w:val="0"/>
                <w:lang w:val="fr-FR" w:eastAsia="en-US" w:bidi="ar-SA"/>
              </w:rPr>
              <w:t>PORTAL_RULES</w:t>
            </w:r>
            <w:r>
              <w:rPr>
                <w:rFonts w:eastAsia="Calibri" w:cs="Calibri"/>
                <w:kern w:val="0"/>
                <w:sz w:val="19"/>
                <w:szCs w:val="19"/>
                <w:lang w:val="fr-FR" w:eastAsia="en-US" w:bidi="ar-SA"/>
              </w:rPr>
              <w:t xml:space="preserve">, années archivées — </w:t>
            </w:r>
            <w:r>
              <w:rPr>
                <w:rFonts w:eastAsia="Calibri" w:cs="Calibri"/>
                <w:b/>
                <w:bCs/>
                <w:kern w:val="0"/>
                <w:sz w:val="19"/>
                <w:szCs w:val="19"/>
                <w:lang w:val="fr-FR" w:eastAsia="en-US" w:bidi="ar-SA"/>
              </w:rPr>
              <w:t>à lire avant d’ajouter une route</w:t>
            </w:r>
          </w:p>
        </w:tc>
      </w:tr>
      <w:tr>
        <w:trPr>
          <w:cantSplit w:val="true"/>
        </w:trPr>
        <w:tc>
          <w:tcPr>
            <w:tcW w:w="33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Tests automatisés</w:t>
            </w:r>
          </w:p>
        </w:tc>
        <w:tc>
          <w:tcPr>
            <w:tcW w:w="62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Lancer les tests, fabriques </w:t>
            </w:r>
            <w:r>
              <w:rPr>
                <w:rStyle w:val="VerbatimChar"/>
                <w:rFonts w:eastAsia="Calibri" w:cs="Calibri"/>
                <w:kern w:val="0"/>
                <w:lang w:val="fr-FR" w:eastAsia="en-US" w:bidi="ar-SA"/>
              </w:rPr>
              <w:t>Monde</w:t>
            </w:r>
            <w:r>
              <w:rPr>
                <w:rFonts w:eastAsia="Calibri" w:cs="Calibri"/>
                <w:kern w:val="0"/>
                <w:sz w:val="19"/>
                <w:szCs w:val="19"/>
                <w:lang w:val="fr-FR" w:eastAsia="en-US" w:bidi="ar-SA"/>
              </w:rPr>
              <w:t>, écrire un test de flux</w:t>
            </w:r>
          </w:p>
        </w:tc>
      </w:tr>
      <w:tr>
        <w:trPr>
          <w:cantSplit w:val="true"/>
        </w:trPr>
        <w:tc>
          <w:tcPr>
            <w:tcW w:w="33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Ajouter une fonctionnalité</w:t>
            </w:r>
          </w:p>
        </w:tc>
        <w:tc>
          <w:tcPr>
            <w:tcW w:w="62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Recette pas à pas (modèle → API → droits → écran → tests → doc)</w:t>
            </w:r>
          </w:p>
        </w:tc>
      </w:tr>
      <w:tr>
        <w:trPr>
          <w:cantSplit w:val="true"/>
        </w:trPr>
        <w:tc>
          <w:tcPr>
            <w:tcW w:w="33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Conventions de code</w:t>
            </w:r>
          </w:p>
        </w:tc>
        <w:tc>
          <w:tcPr>
            <w:tcW w:w="62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Style, nommage, Git, revue</w:t>
            </w:r>
          </w:p>
        </w:tc>
      </w:tr>
      <w:tr>
        <w:trPr>
          <w:cantSplit w:val="true"/>
        </w:trPr>
        <w:tc>
          <w:tcPr>
            <w:tcW w:w="339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Référence API</w:t>
            </w:r>
          </w:p>
        </w:tc>
        <w:tc>
          <w:tcPr>
            <w:tcW w:w="623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Swagger, authentification, en-têtes, principaux endpoints</w:t>
            </w:r>
          </w:p>
        </w:tc>
      </w:tr>
    </w:tbl>
    <w:p>
      <w:pPr>
        <w:pStyle w:val="Heading3"/>
        <w:rPr/>
      </w:pPr>
      <w:r>
        <w:rPr/>
        <w:t>Démarrage rapide</w:t>
      </w:r>
    </w:p>
    <w:p>
      <w:pPr>
        <w:pStyle w:val="SourceCode"/>
        <w:rPr/>
      </w:pPr>
      <w:r>
        <w:rPr>
          <w:rStyle w:val="CommentTok"/>
        </w:rPr>
        <w:t># Backend</w:t>
      </w:r>
      <w:r>
        <w:rPr/>
        <w:br/>
      </w:r>
      <w:r>
        <w:rPr>
          <w:rStyle w:val="BuiltInTok"/>
        </w:rPr>
        <w:t>cd</w:t>
      </w:r>
      <w:r>
        <w:rPr>
          <w:rStyle w:val="NormalTok"/>
        </w:rPr>
        <w:t xml:space="preserve"> back-istc </w:t>
      </w:r>
      <w:r>
        <w:rPr>
          <w:rStyle w:val="KeywordTok"/>
        </w:rPr>
        <w:t>&amp;&amp;</w:t>
      </w:r>
      <w:r>
        <w:rPr>
          <w:rStyle w:val="NormalTok"/>
        </w:rPr>
        <w:t xml:space="preserve"> </w:t>
      </w:r>
      <w:r>
        <w:rPr>
          <w:rStyle w:val="ExtensionTok"/>
        </w:rPr>
        <w:t>python3</w:t>
      </w:r>
      <w:r>
        <w:rPr>
          <w:rStyle w:val="NormalTok"/>
        </w:rPr>
        <w:t xml:space="preserve"> </w:t>
      </w:r>
      <w:r>
        <w:rPr>
          <w:rStyle w:val="AttributeTok"/>
        </w:rPr>
        <w:t>-m</w:t>
      </w:r>
      <w:r>
        <w:rPr>
          <w:rStyle w:val="NormalTok"/>
        </w:rPr>
        <w:t xml:space="preserve"> venv venv </w:t>
      </w:r>
      <w:r>
        <w:rPr>
          <w:rStyle w:val="KeywordTok"/>
        </w:rPr>
        <w:t>&amp;&amp;</w:t>
      </w:r>
      <w:r>
        <w:rPr>
          <w:rStyle w:val="NormalTok"/>
        </w:rPr>
        <w:t xml:space="preserve"> </w:t>
      </w:r>
      <w:r>
        <w:rPr>
          <w:rStyle w:val="BuiltInTok"/>
        </w:rPr>
        <w:t>source</w:t>
      </w:r>
      <w:r>
        <w:rPr>
          <w:rStyle w:val="NormalTok"/>
        </w:rPr>
        <w:t xml:space="preserve"> venv/bin/activate</w:t>
      </w:r>
      <w:r>
        <w:rPr/>
        <w:br/>
      </w:r>
      <w:r>
        <w:rPr>
          <w:rStyle w:val="ExtensionTok"/>
        </w:rPr>
        <w:t>pip</w:t>
      </w:r>
      <w:r>
        <w:rPr>
          <w:rStyle w:val="NormalTok"/>
        </w:rPr>
        <w:t xml:space="preserve"> install </w:t>
      </w:r>
      <w:r>
        <w:rPr>
          <w:rStyle w:val="AttributeTok"/>
        </w:rPr>
        <w:t>-r</w:t>
      </w:r>
      <w:r>
        <w:rPr>
          <w:rStyle w:val="NormalTok"/>
        </w:rPr>
        <w:t xml:space="preserve"> requirements.txt</w:t>
      </w:r>
      <w:r>
        <w:rPr/>
        <w:br/>
      </w:r>
      <w:r>
        <w:rPr>
          <w:rStyle w:val="FunctionTok"/>
        </w:rPr>
        <w:t>cp</w:t>
      </w:r>
      <w:r>
        <w:rPr>
          <w:rStyle w:val="NormalTok"/>
        </w:rPr>
        <w:t xml:space="preserve"> .env.example .env            </w:t>
      </w:r>
      <w:r>
        <w:rPr>
          <w:rStyle w:val="CommentTok"/>
        </w:rPr>
        <w:t># DEBUG=True, DATABASE_URL vide (SQLite)</w:t>
      </w:r>
      <w:r>
        <w:rPr/>
        <w:br/>
      </w:r>
      <w:r>
        <w:rPr>
          <w:rStyle w:val="ExtensionTok"/>
        </w:rPr>
        <w:t>python</w:t>
      </w:r>
      <w:r>
        <w:rPr>
          <w:rStyle w:val="NormalTok"/>
        </w:rPr>
        <w:t xml:space="preserve"> manage.py migrate </w:t>
      </w:r>
      <w:r>
        <w:rPr>
          <w:rStyle w:val="KeywordTok"/>
        </w:rPr>
        <w:t>&amp;&amp;</w:t>
      </w:r>
      <w:r>
        <w:rPr>
          <w:rStyle w:val="NormalTok"/>
        </w:rPr>
        <w:t xml:space="preserve"> </w:t>
      </w:r>
      <w:r>
        <w:rPr>
          <w:rStyle w:val="ExtensionTok"/>
        </w:rPr>
        <w:t>python</w:t>
      </w:r>
      <w:r>
        <w:rPr>
          <w:rStyle w:val="NormalTok"/>
        </w:rPr>
        <w:t xml:space="preserve"> manage.py createsuperuser</w:t>
      </w:r>
      <w:r>
        <w:rPr/>
        <w:br/>
      </w:r>
      <w:r>
        <w:rPr>
          <w:rStyle w:val="ExtensionTok"/>
        </w:rPr>
        <w:t>python</w:t>
      </w:r>
      <w:r>
        <w:rPr>
          <w:rStyle w:val="NormalTok"/>
        </w:rPr>
        <w:t xml:space="preserve"> manage.py runserver      </w:t>
      </w:r>
      <w:r>
        <w:rPr>
          <w:rStyle w:val="CommentTok"/>
        </w:rPr>
        <w:t># http://127.0.0.1:8000/api/docs/</w:t>
      </w:r>
      <w:r>
        <w:rPr/>
        <w:br/>
        <w:br/>
      </w:r>
      <w:r>
        <w:rPr>
          <w:rStyle w:val="CommentTok"/>
        </w:rPr>
        <w:t># Frontend</w:t>
      </w:r>
      <w:r>
        <w:rPr/>
        <w:br/>
      </w:r>
      <w:r>
        <w:rPr>
          <w:rStyle w:val="BuiltInTok"/>
        </w:rPr>
        <w:t>cd</w:t>
      </w:r>
      <w:r>
        <w:rPr>
          <w:rStyle w:val="NormalTok"/>
        </w:rPr>
        <w:t xml:space="preserve"> frontend </w:t>
      </w:r>
      <w:r>
        <w:rPr>
          <w:rStyle w:val="KeywordTok"/>
        </w:rPr>
        <w:t>&amp;&amp;</w:t>
      </w:r>
      <w:r>
        <w:rPr>
          <w:rStyle w:val="NormalTok"/>
        </w:rPr>
        <w:t xml:space="preserve"> </w:t>
      </w:r>
      <w:r>
        <w:rPr>
          <w:rStyle w:val="ExtensionTok"/>
        </w:rPr>
        <w:t>npm</w:t>
      </w:r>
      <w:r>
        <w:rPr>
          <w:rStyle w:val="NormalTok"/>
        </w:rPr>
        <w:t xml:space="preserve"> install </w:t>
      </w:r>
      <w:r>
        <w:rPr>
          <w:rStyle w:val="KeywordTok"/>
        </w:rPr>
        <w:t>&amp;&amp;</w:t>
      </w:r>
      <w:r>
        <w:rPr>
          <w:rStyle w:val="NormalTok"/>
        </w:rPr>
        <w:t xml:space="preserve"> </w:t>
      </w:r>
      <w:r>
        <w:rPr>
          <w:rStyle w:val="FunctionTok"/>
        </w:rPr>
        <w:t>cp</w:t>
      </w:r>
      <w:r>
        <w:rPr>
          <w:rStyle w:val="NormalTok"/>
        </w:rPr>
        <w:t xml:space="preserve"> .env.example .env.local </w:t>
      </w:r>
      <w:r>
        <w:rPr>
          <w:rStyle w:val="KeywordTok"/>
        </w:rPr>
        <w:t>&amp;&amp;</w:t>
      </w:r>
      <w:r>
        <w:rPr>
          <w:rStyle w:val="NormalTok"/>
        </w:rPr>
        <w:t xml:space="preserve"> </w:t>
      </w:r>
      <w:r>
        <w:rPr>
          <w:rStyle w:val="ExtensionTok"/>
        </w:rPr>
        <w:t>npm</w:t>
      </w:r>
      <w:r>
        <w:rPr>
          <w:rStyle w:val="NormalTok"/>
        </w:rPr>
        <w:t xml:space="preserve"> run dev   </w:t>
      </w:r>
      <w:r>
        <w:rPr>
          <w:rStyle w:val="CommentTok"/>
        </w:rPr>
        <w:t># http://localhost:3000</w:t>
      </w:r>
      <w:r>
        <w:rPr/>
        <w:br/>
        <w:br/>
      </w:r>
      <w:r>
        <w:rPr>
          <w:rStyle w:val="CommentTok"/>
        </w:rPr>
        <w:t># Tests et lint (à lancer avant chaque push)</w:t>
      </w:r>
      <w:r>
        <w:rPr/>
        <w:br/>
      </w:r>
      <w:r>
        <w:rPr>
          <w:rStyle w:val="BuiltInTok"/>
        </w:rPr>
        <w:t>cd</w:t>
      </w:r>
      <w:r>
        <w:rPr>
          <w:rStyle w:val="NormalTok"/>
        </w:rPr>
        <w:t xml:space="preserve"> back-istc </w:t>
      </w:r>
      <w:r>
        <w:rPr>
          <w:rStyle w:val="KeywordTok"/>
        </w:rPr>
        <w:t>&amp;&amp;</w:t>
      </w:r>
      <w:r>
        <w:rPr>
          <w:rStyle w:val="NormalTok"/>
        </w:rPr>
        <w:t xml:space="preserve"> </w:t>
      </w:r>
      <w:r>
        <w:rPr>
          <w:rStyle w:val="ExtensionTok"/>
        </w:rPr>
        <w:t>python</w:t>
      </w:r>
      <w:r>
        <w:rPr>
          <w:rStyle w:val="NormalTok"/>
        </w:rPr>
        <w:t xml:space="preserve"> </w:t>
      </w:r>
      <w:r>
        <w:rPr>
          <w:rStyle w:val="AttributeTok"/>
        </w:rPr>
        <w:t>-m</w:t>
      </w:r>
      <w:r>
        <w:rPr>
          <w:rStyle w:val="NormalTok"/>
        </w:rPr>
        <w:t xml:space="preserve"> pytest </w:t>
      </w:r>
      <w:r>
        <w:rPr>
          <w:rStyle w:val="AttributeTok"/>
        </w:rPr>
        <w:t>-q</w:t>
      </w:r>
      <w:r>
        <w:rPr/>
        <w:br/>
      </w:r>
      <w:r>
        <w:rPr>
          <w:rStyle w:val="BuiltInTok"/>
        </w:rPr>
        <w:t>cd</w:t>
      </w:r>
      <w:r>
        <w:rPr>
          <w:rStyle w:val="NormalTok"/>
        </w:rPr>
        <w:t xml:space="preserve"> frontend </w:t>
      </w:r>
      <w:r>
        <w:rPr>
          <w:rStyle w:val="KeywordTok"/>
        </w:rPr>
        <w:t>&amp;&amp;</w:t>
      </w:r>
      <w:r>
        <w:rPr>
          <w:rStyle w:val="NormalTok"/>
        </w:rPr>
        <w:t xml:space="preserve"> </w:t>
      </w:r>
      <w:r>
        <w:rPr>
          <w:rStyle w:val="ExtensionTok"/>
        </w:rPr>
        <w:t>npm</w:t>
      </w:r>
      <w:r>
        <w:rPr>
          <w:rStyle w:val="NormalTok"/>
        </w:rPr>
        <w:t xml:space="preserve"> run lint</w:t>
      </w:r>
      <w:r>
        <w:rPr/>
        <w:br/>
        <w:br/>
      </w:r>
      <w:r>
        <w:rPr>
          <w:rStyle w:val="CommentTok"/>
        </w:rPr>
        <w:t># Documentation</w:t>
      </w:r>
      <w:r>
        <w:rPr/>
        <w:br/>
      </w:r>
      <w:r>
        <w:rPr>
          <w:rStyle w:val="ExtensionTok"/>
        </w:rPr>
        <w:t>pip</w:t>
      </w:r>
      <w:r>
        <w:rPr>
          <w:rStyle w:val="NormalTok"/>
        </w:rPr>
        <w:t xml:space="preserve"> install </w:t>
      </w:r>
      <w:r>
        <w:rPr>
          <w:rStyle w:val="AttributeTok"/>
        </w:rPr>
        <w:t>-r</w:t>
      </w:r>
      <w:r>
        <w:rPr>
          <w:rStyle w:val="NormalTok"/>
        </w:rPr>
        <w:t xml:space="preserve"> requirements-docs.txt </w:t>
      </w:r>
      <w:r>
        <w:rPr>
          <w:rStyle w:val="KeywordTok"/>
        </w:rPr>
        <w:t>&amp;&amp;</w:t>
      </w:r>
      <w:r>
        <w:rPr>
          <w:rStyle w:val="NormalTok"/>
        </w:rPr>
        <w:t xml:space="preserve"> </w:t>
      </w:r>
      <w:r>
        <w:rPr>
          <w:rStyle w:val="ExtensionTok"/>
        </w:rPr>
        <w:t>mkdocs</w:t>
      </w:r>
      <w:r>
        <w:rPr>
          <w:rStyle w:val="NormalTok"/>
        </w:rPr>
        <w:t xml:space="preserve"> serve   </w:t>
      </w:r>
      <w:r>
        <w:rPr>
          <w:rStyle w:val="CommentTok"/>
        </w:rPr>
        <w:t># http://127.0.0.1:8000</w:t>
      </w:r>
    </w:p>
    <w:p>
      <w:pPr>
        <w:pStyle w:val="FirstParagraph"/>
        <w:rPr/>
      </w:pPr>
      <w:r>
        <w:rPr/>
        <w:t xml:space="preserve">Voir aussi </w:t>
      </w:r>
      <w:r>
        <w:rPr>
          <w:rStyle w:val="VerbatimChar"/>
        </w:rPr>
        <w:t>CONTRIBUTING.md</w:t>
      </w:r>
      <w:r>
        <w:rPr/>
        <w:t xml:space="preserve"> à la racine du dépôt.</w:t>
      </w:r>
      <w:bookmarkEnd w:id="430"/>
    </w:p>
    <w:p>
      <w:pPr>
        <w:pStyle w:val="Heading2"/>
        <w:rPr/>
      </w:pPr>
      <w:bookmarkStart w:id="431" w:name="__RefHeading___Toc15218_1458957718"/>
      <w:bookmarkStart w:id="432" w:name="architecture"/>
      <w:bookmarkEnd w:id="431"/>
      <w:r>
        <w:rPr/>
        <w:t>Architecture</w:t>
      </w:r>
    </w:p>
    <w:p>
      <w:pPr>
        <w:pStyle w:val="Heading3"/>
        <w:rPr/>
      </w:pPr>
      <w:r>
        <w:rPr/>
        <w:t>Vue d’ensemble</w:t>
      </w:r>
    </w:p>
    <w:p>
      <w:pPr>
        <w:pStyle w:val="Normal"/>
        <w:jc w:val="center"/>
        <w:rPr/>
      </w:pPr>
      <w:r>
        <w:rPr/>
        <w:drawing>
          <wp:inline distT="0" distB="0" distL="0" distR="0">
            <wp:extent cx="5334000" cy="1524000"/>
            <wp:effectExtent l="0" t="0" r="0" b="0"/>
            <wp:docPr id="118" name="Image1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18" descr=""/>
                    <pic:cNvPicPr>
                      <a:picLocks noChangeAspect="1" noChangeArrowheads="1"/>
                    </pic:cNvPicPr>
                  </pic:nvPicPr>
                  <pic:blipFill>
                    <a:blip r:embed="rId119"/>
                    <a:stretch>
                      <a:fillRect/>
                    </a:stretch>
                  </pic:blipFill>
                  <pic:spPr bwMode="auto">
                    <a:xfrm>
                      <a:off x="0" y="0"/>
                      <a:ext cx="5334000" cy="1524000"/>
                    </a:xfrm>
                    <a:prstGeom prst="rect">
                      <a:avLst/>
                    </a:prstGeom>
                  </pic:spPr>
                </pic:pic>
              </a:graphicData>
            </a:graphic>
          </wp:inline>
        </w:drawing>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1779"/>
        <w:gridCol w:w="5667"/>
        <w:gridCol w:w="2192"/>
      </w:tblGrid>
      <w:tr>
        <w:trPr>
          <w:tblHeader w:val="true"/>
          <w:cantSplit w:val="true"/>
        </w:trPr>
        <w:tc>
          <w:tcPr>
            <w:tcW w:w="177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Couche</w:t>
            </w:r>
          </w:p>
        </w:tc>
        <w:tc>
          <w:tcPr>
            <w:tcW w:w="566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Technologies</w:t>
            </w:r>
          </w:p>
        </w:tc>
        <w:tc>
          <w:tcPr>
            <w:tcW w:w="219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Dossier</w:t>
            </w:r>
          </w:p>
        </w:tc>
      </w:tr>
      <w:tr>
        <w:trPr>
          <w:cantSplit w:val="true"/>
        </w:trPr>
        <w:tc>
          <w:tcPr>
            <w:tcW w:w="17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API</w:t>
            </w:r>
          </w:p>
        </w:tc>
        <w:tc>
          <w:tcPr>
            <w:tcW w:w="56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Django 5.2, Django REST Framework, SimpleJWT, django-filter, drf-spectacular</w:t>
            </w:r>
          </w:p>
        </w:tc>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back-istc/</w:t>
            </w:r>
          </w:p>
        </w:tc>
      </w:tr>
      <w:tr>
        <w:trPr>
          <w:cantSplit w:val="true"/>
        </w:trPr>
        <w:tc>
          <w:tcPr>
            <w:tcW w:w="17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Interface</w:t>
            </w:r>
          </w:p>
        </w:tc>
        <w:tc>
          <w:tcPr>
            <w:tcW w:w="56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Next.js 16 (App Router), React 19, MUI 5, axios, react-hook-form + yup, recharts, jsPDF, xlsx</w:t>
            </w:r>
          </w:p>
        </w:tc>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frontend/</w:t>
            </w:r>
          </w:p>
        </w:tc>
      </w:tr>
      <w:tr>
        <w:trPr>
          <w:cantSplit w:val="true"/>
        </w:trPr>
        <w:tc>
          <w:tcPr>
            <w:tcW w:w="17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Base</w:t>
            </w:r>
          </w:p>
        </w:tc>
        <w:tc>
          <w:tcPr>
            <w:tcW w:w="56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PostgreSQL (prod), SQLite (dev/tests)</w:t>
            </w:r>
          </w:p>
        </w:tc>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r>
      <w:tr>
        <w:trPr>
          <w:cantSplit w:val="true"/>
        </w:trPr>
        <w:tc>
          <w:tcPr>
            <w:tcW w:w="177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Docs</w:t>
            </w:r>
          </w:p>
        </w:tc>
        <w:tc>
          <w:tcPr>
            <w:tcW w:w="566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MkDocs Material</w:t>
            </w:r>
          </w:p>
        </w:tc>
        <w:tc>
          <w:tcPr>
            <w:tcW w:w="219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docs/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mkdocs.yml</w:t>
            </w:r>
            <w:bookmarkStart w:id="433" w:name="vue-densemble"/>
            <w:bookmarkEnd w:id="433"/>
          </w:p>
        </w:tc>
      </w:tr>
    </w:tbl>
    <w:p>
      <w:pPr>
        <w:pStyle w:val="Heading3"/>
        <w:rPr/>
      </w:pPr>
      <w:r>
        <w:rPr/>
        <w:t>Cycle d’une requête API</w:t>
      </w:r>
    </w:p>
    <w:p>
      <w:pPr>
        <w:pStyle w:val="Compact"/>
        <w:numPr>
          <w:ilvl w:val="0"/>
          <w:numId w:val="474"/>
        </w:numPr>
        <w:rPr/>
      </w:pPr>
      <w:r>
        <w:rPr/>
        <w:t xml:space="preserve">Le frontend appelle </w:t>
      </w:r>
      <w:r>
        <w:rPr>
          <w:rStyle w:val="VerbatimChar"/>
        </w:rPr>
        <w:t>apiRequest()</w:t>
      </w:r>
      <w:r>
        <w:rPr/>
        <w:t xml:space="preserve"> (</w:t>
      </w:r>
      <w:r>
        <w:rPr>
          <w:rStyle w:val="VerbatimChar"/>
        </w:rPr>
        <w:t>frontend/src/services/api/client.js</w:t>
      </w:r>
      <w:r>
        <w:rPr/>
        <w:t>). L’intercepteur ajoute :</w:t>
      </w:r>
    </w:p>
    <w:p>
      <w:pPr>
        <w:pStyle w:val="Compact"/>
        <w:numPr>
          <w:ilvl w:val="1"/>
          <w:numId w:val="475"/>
        </w:numPr>
        <w:rPr/>
      </w:pPr>
      <w:r>
        <w:rPr>
          <w:rStyle w:val="VerbatimChar"/>
        </w:rPr>
        <w:t>Authorization: Bearer &lt;access&gt;</w:t>
      </w:r>
      <w:r>
        <w:rPr/>
        <w:t xml:space="preserve"> (jeton stocké dans </w:t>
      </w:r>
      <w:r>
        <w:rPr>
          <w:rStyle w:val="VerbatimChar"/>
        </w:rPr>
        <w:t>localStorage.token</w:t>
      </w:r>
      <w:r>
        <w:rPr/>
        <w:t>) ;</w:t>
      </w:r>
    </w:p>
    <w:p>
      <w:pPr>
        <w:pStyle w:val="Compact"/>
        <w:numPr>
          <w:ilvl w:val="1"/>
          <w:numId w:val="476"/>
        </w:numPr>
        <w:rPr/>
      </w:pPr>
      <w:r>
        <w:rPr>
          <w:rStyle w:val="VerbatimChar"/>
        </w:rPr>
        <w:t>X-Academic-Year: &lt;id&gt;</w:t>
      </w:r>
      <w:r>
        <w:rPr/>
        <w:t xml:space="preserve"> (année choisie dans le sélecteur, </w:t>
      </w:r>
      <w:r>
        <w:rPr>
          <w:rStyle w:val="VerbatimChar"/>
        </w:rPr>
        <w:t>localStorage.selectedAcademicYearId</w:t>
      </w:r>
      <w:r>
        <w:rPr/>
        <w:t>).</w:t>
      </w:r>
    </w:p>
    <w:p>
      <w:pPr>
        <w:pStyle w:val="Compact"/>
        <w:numPr>
          <w:ilvl w:val="0"/>
          <w:numId w:val="477"/>
        </w:numPr>
        <w:rPr/>
      </w:pPr>
      <w:r>
        <w:rPr/>
        <w:t xml:space="preserve">Côté Django, les middlewares s’exécutent dans cet ordre (voir </w:t>
      </w:r>
      <w:r>
        <w:rPr>
          <w:rStyle w:val="VerbatimChar"/>
        </w:rPr>
        <w:t>MIDDLEWARE</w:t>
      </w:r>
      <w:r>
        <w:rPr/>
        <w:t xml:space="preserve"> dans </w:t>
      </w:r>
      <w:r>
        <w:rPr>
          <w:rStyle w:val="VerbatimChar"/>
        </w:rPr>
        <w:t>smart_back/settings.py</w:t>
      </w:r>
      <w:r>
        <w:rPr/>
        <w:t>) :</w:t>
      </w:r>
    </w:p>
    <w:p>
      <w:pPr>
        <w:pStyle w:val="Compact"/>
        <w:numPr>
          <w:ilvl w:val="1"/>
          <w:numId w:val="478"/>
        </w:numPr>
        <w:rPr/>
      </w:pPr>
      <w:r>
        <w:rPr>
          <w:rStyle w:val="VerbatimChar"/>
        </w:rPr>
        <w:t>CorsMiddleware</w:t>
      </w:r>
      <w:r>
        <w:rPr/>
        <w:t xml:space="preserve"> ;</w:t>
      </w:r>
    </w:p>
    <w:p>
      <w:pPr>
        <w:pStyle w:val="Compact"/>
        <w:numPr>
          <w:ilvl w:val="1"/>
          <w:numId w:val="479"/>
        </w:numPr>
        <w:rPr/>
      </w:pPr>
      <w:r>
        <w:rPr/>
        <w:t xml:space="preserve">… </w:t>
      </w:r>
      <w:r>
        <w:rPr/>
        <w:t>middlewares Django standards …</w:t>
      </w:r>
    </w:p>
    <w:p>
      <w:pPr>
        <w:pStyle w:val="Compact"/>
        <w:numPr>
          <w:ilvl w:val="1"/>
          <w:numId w:val="480"/>
        </w:numPr>
        <w:rPr/>
      </w:pPr>
      <w:r>
        <w:rPr>
          <w:rStyle w:val="VerbatimChar"/>
        </w:rPr>
        <w:t>academique.middleware.ArchiveAcademicYearMiddleware</w:t>
      </w:r>
      <w:r>
        <w:rPr/>
        <w:t xml:space="preserve"> : refuse (403) l’accès à une année </w:t>
      </w:r>
      <w:r>
        <w:rPr>
          <w:b/>
          <w:bCs/>
        </w:rPr>
        <w:t>non active</w:t>
      </w:r>
      <w:r>
        <w:rPr/>
        <w:t xml:space="preserve"> aux non-superusers ;</w:t>
      </w:r>
    </w:p>
    <w:p>
      <w:pPr>
        <w:pStyle w:val="Compact"/>
        <w:numPr>
          <w:ilvl w:val="1"/>
          <w:numId w:val="481"/>
        </w:numPr>
        <w:rPr/>
      </w:pPr>
      <w:r>
        <w:rPr>
          <w:rStyle w:val="VerbatimChar"/>
        </w:rPr>
        <w:t>users.middleware.PortalAccessMiddleware</w:t>
      </w:r>
      <w:r>
        <w:rPr/>
        <w:t xml:space="preserve"> : pour les comptes </w:t>
      </w:r>
      <w:r>
        <w:rPr>
          <w:rStyle w:val="VerbatimChar"/>
        </w:rPr>
        <w:t>etudiant</w:t>
      </w:r>
      <w:r>
        <w:rPr/>
        <w:t xml:space="preserve"> / </w:t>
      </w:r>
      <w:r>
        <w:rPr>
          <w:rStyle w:val="VerbatimChar"/>
        </w:rPr>
        <w:t>formateur</w:t>
      </w:r>
      <w:r>
        <w:rPr/>
        <w:t xml:space="preserve">, n’autorise que les routes listées dans </w:t>
      </w:r>
      <w:r>
        <w:rPr>
          <w:rStyle w:val="VerbatimChar"/>
        </w:rPr>
        <w:t>PORTAL_RULES</w:t>
      </w:r>
      <w:r>
        <w:rPr/>
        <w:t xml:space="preserve"> ;</w:t>
      </w:r>
    </w:p>
    <w:p>
      <w:pPr>
        <w:pStyle w:val="Compact"/>
        <w:numPr>
          <w:ilvl w:val="1"/>
          <w:numId w:val="482"/>
        </w:numPr>
        <w:rPr/>
      </w:pPr>
      <w:r>
        <w:rPr>
          <w:rStyle w:val="VerbatimChar"/>
        </w:rPr>
        <w:t>academique.middleware.AcademicYearMiddleware</w:t>
      </w:r>
      <w:r>
        <w:rPr/>
        <w:t xml:space="preserve"> : stocke l’année demandée dans un </w:t>
      </w:r>
      <w:r>
        <w:rPr>
          <w:rStyle w:val="VerbatimChar"/>
        </w:rPr>
        <w:t>ContextVar</w:t>
      </w:r>
      <w:r>
        <w:rPr/>
        <w:t xml:space="preserve">, lisible partout via </w:t>
      </w:r>
      <w:r>
        <w:rPr>
          <w:rStyle w:val="VerbatimChar"/>
        </w:rPr>
        <w:t>get_current_academic_year_id()</w:t>
      </w:r>
      <w:r>
        <w:rPr/>
        <w:t>.</w:t>
      </w:r>
    </w:p>
    <w:p>
      <w:pPr>
        <w:pStyle w:val="Compact"/>
        <w:numPr>
          <w:ilvl w:val="0"/>
          <w:numId w:val="483"/>
        </w:numPr>
        <w:rPr/>
      </w:pPr>
      <w:r>
        <w:rPr/>
        <w:t xml:space="preserve">La vue DRF applique </w:t>
      </w:r>
      <w:r>
        <w:rPr>
          <w:rStyle w:val="VerbatimChar"/>
        </w:rPr>
        <w:t>IsAuthenticated</w:t>
      </w:r>
      <w:r>
        <w:rPr/>
        <w:t xml:space="preserve"> (par défaut) puis ses propres contrôles de rôle (</w:t>
      </w:r>
      <w:r>
        <w:rPr>
          <w:rStyle w:val="VerbatimChar"/>
        </w:rPr>
        <w:t>users.permissions</w:t>
      </w:r>
      <w:r>
        <w:rPr/>
        <w:t>).</w:t>
      </w:r>
    </w:p>
    <w:p>
      <w:pPr>
        <w:pStyle w:val="Compact"/>
        <w:numPr>
          <w:ilvl w:val="0"/>
          <w:numId w:val="484"/>
        </w:numPr>
        <w:rPr/>
      </w:pPr>
      <w:r>
        <w:rPr/>
        <w:t>En cas de 401, l’intercepteur tente un rafraîchissement (</w:t>
      </w:r>
      <w:r>
        <w:rPr>
          <w:rStyle w:val="VerbatimChar"/>
        </w:rPr>
        <w:t>/api/auth/token/refresh/</w:t>
      </w:r>
      <w:r>
        <w:rPr/>
        <w:t xml:space="preserve">) puis rejoue la requête ; en cas d’échec, </w:t>
      </w:r>
      <w:r>
        <w:rPr>
          <w:rStyle w:val="VerbatimChar"/>
        </w:rPr>
        <w:t>clearSession()</w:t>
      </w:r>
      <w:r>
        <w:rPr/>
        <w:t xml:space="preserve"> et retour à </w:t>
      </w:r>
      <w:r>
        <w:rPr>
          <w:rStyle w:val="VerbatimChar"/>
        </w:rPr>
        <w:t>/login</w:t>
      </w:r>
      <w:r>
        <w:rPr/>
        <w:t>.</w:t>
      </w:r>
    </w:p>
    <w:p>
      <w:pPr>
        <w:pStyle w:val="Heading3"/>
        <w:rPr/>
      </w:pPr>
      <w:bookmarkStart w:id="434" w:name="X9290570b3da86ac3904e8157da959e489f757a9"/>
      <w:r>
        <w:rPr/>
        <w:t>L’année académique, colonne vertébrale des données</w:t>
      </w:r>
    </w:p>
    <w:p>
      <w:pPr>
        <w:pStyle w:val="Compact"/>
        <w:numPr>
          <w:ilvl w:val="0"/>
          <w:numId w:val="485"/>
        </w:numPr>
        <w:rPr/>
      </w:pPr>
      <w:r>
        <w:rPr>
          <w:rStyle w:val="VerbatimChar"/>
        </w:rPr>
        <w:t>AnneeAcademique</w:t>
      </w:r>
      <w:r>
        <w:rPr/>
        <w:t xml:space="preserve"> (</w:t>
      </w:r>
      <w:r>
        <w:rPr>
          <w:rStyle w:val="VerbatimChar"/>
        </w:rPr>
        <w:t>academique</w:t>
      </w:r>
      <w:r>
        <w:rPr/>
        <w:t xml:space="preserve">) : une seule </w:t>
      </w:r>
      <w:r>
        <w:rPr>
          <w:rStyle w:val="VerbatimChar"/>
        </w:rPr>
        <w:t>est_active=True</w:t>
      </w:r>
      <w:r>
        <w:rPr/>
        <w:t xml:space="preserve"> (garanti dans </w:t>
      </w:r>
      <w:r>
        <w:rPr>
          <w:rStyle w:val="VerbatimChar"/>
        </w:rPr>
        <w:t>save()</w:t>
      </w:r>
      <w:r>
        <w:rPr/>
        <w:t>).</w:t>
      </w:r>
    </w:p>
    <w:p>
      <w:pPr>
        <w:pStyle w:val="Compact"/>
        <w:numPr>
          <w:ilvl w:val="0"/>
          <w:numId w:val="486"/>
        </w:numPr>
        <w:rPr/>
      </w:pPr>
      <w:r>
        <w:rPr/>
        <w:t xml:space="preserve">Créer une année recopie les </w:t>
      </w:r>
      <w:r>
        <w:rPr>
          <w:rStyle w:val="VerbatimChar"/>
        </w:rPr>
        <w:t>Classe</w:t>
      </w:r>
      <w:r>
        <w:rPr/>
        <w:t xml:space="preserve"> de l’année source (signal </w:t>
      </w:r>
      <w:r>
        <w:rPr>
          <w:rStyle w:val="VerbatimChar"/>
        </w:rPr>
        <w:t>academique/signals.py</w:t>
      </w:r>
      <w:r>
        <w:rPr/>
        <w:t>).</w:t>
      </w:r>
    </w:p>
    <w:p>
      <w:pPr>
        <w:pStyle w:val="Compact"/>
        <w:numPr>
          <w:ilvl w:val="0"/>
          <w:numId w:val="487"/>
        </w:numPr>
        <w:rPr/>
      </w:pPr>
      <w:r>
        <w:rPr/>
        <w:t xml:space="preserve">Les données annuelles (inscriptions, notes, emplois du temps, paiements) sont filtrées par l’année de l’en-tête </w:t>
      </w:r>
      <w:r>
        <w:rPr>
          <w:rStyle w:val="VerbatimChar"/>
        </w:rPr>
        <w:t>X-Academic-Year</w:t>
      </w:r>
      <w:r>
        <w:rPr/>
        <w:t>, ou par l’année active à défaut.</w:t>
      </w:r>
    </w:p>
    <w:p>
      <w:pPr>
        <w:pStyle w:val="Compact"/>
        <w:numPr>
          <w:ilvl w:val="0"/>
          <w:numId w:val="488"/>
        </w:numPr>
        <w:rPr/>
      </w:pPr>
      <w:r>
        <w:rPr/>
        <w:t xml:space="preserve">Créer une </w:t>
      </w:r>
      <w:r>
        <w:rPr>
          <w:rStyle w:val="VerbatimChar"/>
        </w:rPr>
        <w:t>Specialite</w:t>
      </w:r>
      <w:r>
        <w:rPr/>
        <w:t xml:space="preserve"> / un </w:t>
      </w:r>
      <w:r>
        <w:rPr>
          <w:rStyle w:val="VerbatimChar"/>
        </w:rPr>
        <w:t>Cycle</w:t>
      </w:r>
      <w:r>
        <w:rPr/>
        <w:t xml:space="preserve"> / un </w:t>
      </w:r>
      <w:r>
        <w:rPr>
          <w:rStyle w:val="VerbatimChar"/>
        </w:rPr>
        <w:t>Niveau</w:t>
      </w:r>
      <w:r>
        <w:rPr/>
        <w:t xml:space="preserve"> génère automatiquement les classes correspondantes pour chaque année (signaux).</w:t>
      </w:r>
      <w:bookmarkEnd w:id="434"/>
    </w:p>
    <w:p>
      <w:pPr>
        <w:pStyle w:val="Heading3"/>
        <w:rPr/>
      </w:pPr>
      <w:bookmarkStart w:id="435" w:name="calculs-métier-centralisés"/>
      <w:bookmarkEnd w:id="435"/>
      <w:r>
        <w:rPr/>
        <w:t>Calculs métier centralisés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1381"/>
        <w:gridCol w:w="3935"/>
        <w:gridCol w:w="4322"/>
      </w:tblGrid>
      <w:tr>
        <w:trPr>
          <w:tblHeader w:val="true"/>
          <w:cantSplit w:val="true"/>
        </w:trPr>
        <w:tc>
          <w:tcPr>
            <w:tcW w:w="138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Sujet</w:t>
            </w:r>
          </w:p>
        </w:tc>
        <w:tc>
          <w:tcPr>
            <w:tcW w:w="393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Fonction / lieu</w:t>
            </w:r>
          </w:p>
        </w:tc>
        <w:tc>
          <w:tcPr>
            <w:tcW w:w="432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Remarque</w:t>
            </w:r>
          </w:p>
        </w:tc>
      </w:tr>
      <w:tr>
        <w:trPr>
          <w:cantSplit w:val="true"/>
        </w:trPr>
        <w:tc>
          <w:tcPr>
            <w:tcW w:w="13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Situation financière d’un étudiant</w:t>
            </w:r>
          </w:p>
        </w:tc>
        <w:tc>
          <w:tcPr>
            <w:tcW w:w="3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paiements/finance.py::situation_financiere(etudiant, year_id)</w:t>
            </w:r>
          </w:p>
        </w:tc>
        <w:tc>
          <w:tcPr>
            <w:tcW w:w="43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Unique source</w:t>
            </w:r>
            <w:r>
              <w:rPr>
                <w:rFonts w:eastAsia="Calibri" w:cs="Calibri"/>
                <w:kern w:val="0"/>
                <w:sz w:val="19"/>
                <w:szCs w:val="19"/>
                <w:lang w:val="fr-FR" w:eastAsia="en-US" w:bidi="ar-SA"/>
              </w:rPr>
              <w:t xml:space="preserve"> pour le suivi, le portail et le tableau de bord. Les frais dont le libellé contient « inscription » sont des frais d’inscription.</w:t>
            </w:r>
          </w:p>
        </w:tc>
      </w:tr>
      <w:tr>
        <w:trPr>
          <w:cantSplit w:val="true"/>
        </w:trPr>
        <w:tc>
          <w:tcPr>
            <w:tcW w:w="13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Note finale</w:t>
            </w:r>
          </w:p>
        </w:tc>
        <w:tc>
          <w:tcPr>
            <w:tcW w:w="3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notes/models.py::Note.save()</w:t>
            </w:r>
          </w:p>
        </w:tc>
        <w:tc>
          <w:tcPr>
            <w:tcW w:w="43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CC + SN (ou rattrapage), sur 100 ; bornes = </w:t>
            </w:r>
            <w:r>
              <w:rPr>
                <w:rStyle w:val="VerbatimChar"/>
                <w:rFonts w:eastAsia="Calibri" w:cs="Calibri"/>
                <w:kern w:val="0"/>
                <w:lang w:val="fr-FR" w:eastAsia="en-US" w:bidi="ar-SA"/>
              </w:rPr>
              <w:t>ParametresGlobaux</w:t>
            </w:r>
            <w:r>
              <w:rPr>
                <w:rFonts w:eastAsia="Calibri" w:cs="Calibri"/>
                <w:kern w:val="0"/>
                <w:sz w:val="19"/>
                <w:szCs w:val="19"/>
                <w:lang w:val="fr-FR" w:eastAsia="en-US" w:bidi="ar-SA"/>
              </w:rPr>
              <w:t>.</w:t>
            </w:r>
          </w:p>
        </w:tc>
      </w:tr>
      <w:tr>
        <w:trPr>
          <w:cantSplit w:val="true"/>
        </w:trPr>
        <w:tc>
          <w:tcPr>
            <w:tcW w:w="13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Heures vacataires</w:t>
            </w:r>
          </w:p>
        </w:tc>
        <w:tc>
          <w:tcPr>
            <w:tcW w:w="3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vacations/models.py</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arrondir_quart_heure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RecapMensuel.recalculer</w:t>
            </w:r>
            <w:r>
              <w:rPr>
                <w:rFonts w:eastAsia="Calibri" w:cs="Calibri"/>
                <w:kern w:val="0"/>
                <w:sz w:val="19"/>
                <w:szCs w:val="19"/>
                <w:lang w:val="fr-FR" w:eastAsia="en-US" w:bidi="ar-SA"/>
              </w:rPr>
              <w:t xml:space="preserve">) et </w:t>
            </w:r>
            <w:r>
              <w:rPr>
                <w:rStyle w:val="VerbatimChar"/>
                <w:rFonts w:eastAsia="Calibri" w:cs="Calibri"/>
                <w:kern w:val="0"/>
                <w:lang w:val="fr-FR" w:eastAsia="en-US" w:bidi="ar-SA"/>
              </w:rPr>
              <w:t>vacations/services.py</w:t>
            </w:r>
          </w:p>
        </w:tc>
        <w:tc>
          <w:tcPr>
            <w:tcW w:w="43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Heures arrondies au ¼ h ; seul un récap </w:t>
            </w:r>
            <w:r>
              <w:rPr>
                <w:rStyle w:val="VerbatimChar"/>
                <w:rFonts w:eastAsia="Calibri" w:cs="Calibri"/>
                <w:kern w:val="0"/>
                <w:lang w:val="fr-FR" w:eastAsia="en-US" w:bidi="ar-SA"/>
              </w:rPr>
              <w:t>valide</w:t>
            </w:r>
            <w:r>
              <w:rPr>
                <w:rFonts w:eastAsia="Calibri" w:cs="Calibri"/>
                <w:kern w:val="0"/>
                <w:sz w:val="19"/>
                <w:szCs w:val="19"/>
                <w:lang w:val="fr-FR" w:eastAsia="en-US" w:bidi="ar-SA"/>
              </w:rPr>
              <w:t xml:space="preserve"> est payé.</w:t>
            </w:r>
          </w:p>
        </w:tc>
      </w:tr>
      <w:tr>
        <w:trPr>
          <w:cantSplit w:val="true"/>
        </w:trPr>
        <w:tc>
          <w:tcPr>
            <w:tcW w:w="13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Paie</w:t>
            </w:r>
          </w:p>
        </w:tc>
        <w:tc>
          <w:tcPr>
            <w:tcW w:w="3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paie/views.py</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generer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valider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payer</w:t>
            </w:r>
            <w:r>
              <w:rPr>
                <w:rFonts w:eastAsia="Calibri" w:cs="Calibri"/>
                <w:kern w:val="0"/>
                <w:sz w:val="19"/>
                <w:szCs w:val="19"/>
                <w:lang w:val="fr-FR" w:eastAsia="en-US" w:bidi="ar-SA"/>
              </w:rPr>
              <w:t>)</w:t>
            </w:r>
          </w:p>
        </w:tc>
        <w:tc>
          <w:tcPr>
            <w:tcW w:w="43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payer</w:t>
            </w:r>
            <w:r>
              <w:rPr>
                <w:rFonts w:eastAsia="Calibri" w:cs="Calibri"/>
                <w:kern w:val="0"/>
                <w:sz w:val="19"/>
                <w:szCs w:val="19"/>
                <w:lang w:val="fr-FR" w:eastAsia="en-US" w:bidi="ar-SA"/>
              </w:rPr>
              <w:t xml:space="preserve"> crée les </w:t>
            </w:r>
            <w:r>
              <w:rPr>
                <w:rStyle w:val="VerbatimChar"/>
                <w:rFonts w:eastAsia="Calibri" w:cs="Calibri"/>
                <w:kern w:val="0"/>
                <w:lang w:val="fr-FR" w:eastAsia="en-US" w:bidi="ar-SA"/>
              </w:rPr>
              <w:t>Depense</w:t>
            </w:r>
            <w:r>
              <w:rPr>
                <w:rFonts w:eastAsia="Calibri" w:cs="Calibri"/>
                <w:kern w:val="0"/>
                <w:sz w:val="19"/>
                <w:szCs w:val="19"/>
                <w:lang w:val="fr-FR" w:eastAsia="en-US" w:bidi="ar-SA"/>
              </w:rPr>
              <w:t xml:space="preserve">, rembourse les avances, passe les récaps à </w:t>
            </w:r>
            <w:r>
              <w:rPr>
                <w:rStyle w:val="VerbatimChar"/>
                <w:rFonts w:eastAsia="Calibri" w:cs="Calibri"/>
                <w:kern w:val="0"/>
                <w:lang w:val="fr-FR" w:eastAsia="en-US" w:bidi="ar-SA"/>
              </w:rPr>
              <w:t>paye</w:t>
            </w:r>
            <w:r>
              <w:rPr>
                <w:rFonts w:eastAsia="Calibri" w:cs="Calibri"/>
                <w:kern w:val="0"/>
                <w:sz w:val="19"/>
                <w:szCs w:val="19"/>
                <w:lang w:val="fr-FR" w:eastAsia="en-US" w:bidi="ar-SA"/>
              </w:rPr>
              <w:t>.</w:t>
            </w:r>
          </w:p>
        </w:tc>
      </w:tr>
      <w:tr>
        <w:trPr>
          <w:cantSplit w:val="true"/>
        </w:trPr>
        <w:tc>
          <w:tcPr>
            <w:tcW w:w="13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Congés</w:t>
            </w:r>
          </w:p>
        </w:tc>
        <w:tc>
          <w:tcPr>
            <w:tcW w:w="3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conges/models.py::Conge.save()</w:t>
            </w:r>
          </w:p>
        </w:tc>
        <w:tc>
          <w:tcPr>
            <w:tcW w:w="43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Débit / crédit du solde transactionnel, jours ouvrés.</w:t>
            </w:r>
          </w:p>
        </w:tc>
      </w:tr>
      <w:tr>
        <w:trPr>
          <w:cantSplit w:val="true"/>
        </w:trPr>
        <w:tc>
          <w:tcPr>
            <w:tcW w:w="138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Créneaux</w:t>
            </w:r>
          </w:p>
        </w:tc>
        <w:tc>
          <w:tcPr>
            <w:tcW w:w="393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emploidutemps/models.py::EmploiDuTemps.clean()</w:t>
            </w:r>
          </w:p>
        </w:tc>
        <w:tc>
          <w:tcPr>
            <w:tcW w:w="432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Seule</w:t>
            </w:r>
            <w:r>
              <w:rPr>
                <w:rFonts w:eastAsia="Calibri" w:cs="Calibri"/>
                <w:kern w:val="0"/>
                <w:sz w:val="19"/>
                <w:szCs w:val="19"/>
                <w:lang w:val="fr-FR" w:eastAsia="en-US" w:bidi="ar-SA"/>
              </w:rPr>
              <w:t xml:space="preserve"> source des règles (pause, journée, conflits) ; le serializer l’appelle.</w:t>
            </w:r>
          </w:p>
        </w:tc>
      </w:tr>
    </w:tbl>
    <w:p>
      <w:pPr>
        <w:pStyle w:val="EncadreConseil"/>
        <w:rPr/>
      </w:pPr>
      <w:r>
        <w:rPr>
          <w:b/>
          <w:bCs/>
        </w:rPr>
        <w:t>Règle d’or</w:t>
      </w:r>
    </w:p>
    <w:p>
      <w:pPr>
        <w:pStyle w:val="EncadreConseil"/>
        <w:rPr/>
      </w:pPr>
      <w:r>
        <w:rPr/>
        <w:t xml:space="preserve">Une règle métier vit à </w:t>
      </w:r>
      <w:r>
        <w:rPr>
          <w:b/>
          <w:bCs/>
        </w:rPr>
        <w:t>un seul endroit</w:t>
      </w:r>
      <w:r>
        <w:rPr/>
        <w:t xml:space="preserve"> (modèle ou service) et les vues / serializers l’appellent. Ne la recopiez pas dans le frontend autrement que comme aide à la saisie.</w:t>
      </w:r>
    </w:p>
    <w:p>
      <w:pPr>
        <w:pStyle w:val="Normal"/>
        <w:spacing w:before="0" w:after="60"/>
        <w:rPr>
          <w:sz w:val="8"/>
        </w:rPr>
      </w:pPr>
      <w:r>
        <w:rPr>
          <w:sz w:val="8"/>
        </w:rPr>
      </w:r>
      <w:bookmarkStart w:id="436" w:name="calculs-métier-centralisés"/>
      <w:bookmarkStart w:id="437" w:name="calculs-métier-centralisés"/>
      <w:bookmarkEnd w:id="437"/>
    </w:p>
    <w:p>
      <w:pPr>
        <w:pStyle w:val="Heading3"/>
        <w:rPr/>
      </w:pPr>
      <w:bookmarkStart w:id="438" w:name="frontend"/>
      <w:r>
        <w:rPr/>
        <w:t>Frontend</w:t>
      </w:r>
    </w:p>
    <w:p>
      <w:pPr>
        <w:pStyle w:val="Compact"/>
        <w:numPr>
          <w:ilvl w:val="0"/>
          <w:numId w:val="489"/>
        </w:numPr>
        <w:rPr/>
      </w:pPr>
      <w:r>
        <w:rPr>
          <w:b/>
          <w:bCs/>
        </w:rPr>
        <w:t>Routage</w:t>
      </w:r>
      <w:r>
        <w:rPr/>
        <w:t xml:space="preserve"> (</w:t>
      </w:r>
      <w:r>
        <w:rPr>
          <w:rStyle w:val="VerbatimChar"/>
        </w:rPr>
        <w:t>src/app</w:t>
      </w:r>
      <w:r>
        <w:rPr/>
        <w:t>) en trois groupes :</w:t>
      </w:r>
    </w:p>
    <w:p>
      <w:pPr>
        <w:pStyle w:val="Compact"/>
        <w:numPr>
          <w:ilvl w:val="1"/>
          <w:numId w:val="490"/>
        </w:numPr>
        <w:rPr/>
      </w:pPr>
      <w:r>
        <w:rPr>
          <w:rStyle w:val="VerbatimChar"/>
        </w:rPr>
        <w:t>(dashboard)</w:t>
      </w:r>
      <w:r>
        <w:rPr/>
        <w:t xml:space="preserve"> pour l’administration ;</w:t>
      </w:r>
    </w:p>
    <w:p>
      <w:pPr>
        <w:pStyle w:val="Compact"/>
        <w:numPr>
          <w:ilvl w:val="1"/>
          <w:numId w:val="491"/>
        </w:numPr>
        <w:rPr/>
      </w:pPr>
      <w:r>
        <w:rPr>
          <w:rStyle w:val="VerbatimChar"/>
        </w:rPr>
        <w:t>(formateur-portal)</w:t>
      </w:r>
      <w:r>
        <w:rPr/>
        <w:t xml:space="preserve"> pour le portail formateur ;</w:t>
      </w:r>
    </w:p>
    <w:p>
      <w:pPr>
        <w:pStyle w:val="Compact"/>
        <w:numPr>
          <w:ilvl w:val="1"/>
          <w:numId w:val="492"/>
        </w:numPr>
        <w:rPr/>
      </w:pPr>
      <w:r>
        <w:rPr>
          <w:rStyle w:val="VerbatimChar"/>
        </w:rPr>
        <w:t>(portal)</w:t>
      </w:r>
      <w:r>
        <w:rPr/>
        <w:t xml:space="preserve"> pour le portail étudiant ;</w:t>
      </w:r>
    </w:p>
    <w:p>
      <w:pPr>
        <w:pStyle w:val="Compact"/>
        <w:numPr>
          <w:ilvl w:val="1"/>
          <w:numId w:val="493"/>
        </w:numPr>
        <w:rPr/>
      </w:pPr>
      <w:r>
        <w:rPr/>
        <w:t xml:space="preserve">plus les pages publiques </w:t>
      </w:r>
      <w:r>
        <w:rPr>
          <w:rStyle w:val="VerbatimChar"/>
        </w:rPr>
        <w:t>login</w:t>
      </w:r>
      <w:r>
        <w:rPr/>
        <w:t xml:space="preserve"> et </w:t>
      </w:r>
      <w:r>
        <w:rPr>
          <w:rStyle w:val="VerbatimChar"/>
        </w:rPr>
        <w:t>preinscription</w:t>
      </w:r>
      <w:r>
        <w:rPr/>
        <w:t>.</w:t>
      </w:r>
    </w:p>
    <w:p>
      <w:pPr>
        <w:pStyle w:val="Compact"/>
        <w:numPr>
          <w:ilvl w:val="0"/>
          <w:numId w:val="494"/>
        </w:numPr>
        <w:rPr/>
      </w:pPr>
      <w:r>
        <w:rPr>
          <w:b/>
          <w:bCs/>
        </w:rPr>
        <w:t>Garde</w:t>
      </w:r>
      <w:r>
        <w:rPr/>
        <w:t xml:space="preserve"> :</w:t>
      </w:r>
    </w:p>
    <w:p>
      <w:pPr>
        <w:pStyle w:val="Compact"/>
        <w:numPr>
          <w:ilvl w:val="1"/>
          <w:numId w:val="495"/>
        </w:numPr>
        <w:rPr/>
      </w:pPr>
      <w:r>
        <w:rPr>
          <w:rStyle w:val="VerbatimChar"/>
        </w:rPr>
        <w:t>src/middleware.js</w:t>
      </w:r>
      <w:r>
        <w:rPr/>
        <w:t xml:space="preserve"> redirige les routes protégées sans session ;</w:t>
      </w:r>
    </w:p>
    <w:p>
      <w:pPr>
        <w:pStyle w:val="Compact"/>
        <w:numPr>
          <w:ilvl w:val="1"/>
          <w:numId w:val="496"/>
        </w:numPr>
        <w:rPr/>
      </w:pPr>
      <w:r>
        <w:rPr>
          <w:rStyle w:val="VerbatimChar"/>
        </w:rPr>
        <w:t>components/layout/PortalGuard.js</w:t>
      </w:r>
      <w:r>
        <w:rPr/>
        <w:t xml:space="preserve"> envoie chaque type de compte vers son espace.</w:t>
      </w:r>
    </w:p>
    <w:p>
      <w:pPr>
        <w:pStyle w:val="Compact"/>
        <w:numPr>
          <w:ilvl w:val="0"/>
          <w:numId w:val="497"/>
        </w:numPr>
        <w:rPr/>
      </w:pPr>
      <w:r>
        <w:rPr>
          <w:b/>
          <w:bCs/>
        </w:rPr>
        <w:t>Menus</w:t>
      </w:r>
      <w:r>
        <w:rPr/>
        <w:t xml:space="preserve"> : </w:t>
      </w:r>
      <w:r>
        <w:rPr>
          <w:rStyle w:val="VerbatimChar"/>
        </w:rPr>
        <w:t>src/config/routes.js</w:t>
      </w:r>
      <w:r>
        <w:rPr/>
        <w:t xml:space="preserve"> ; le filtrage par droits se fait dans </w:t>
      </w:r>
      <w:r>
        <w:rPr>
          <w:rStyle w:val="VerbatimChar"/>
        </w:rPr>
        <w:t>components/layout/Sidebar.js</w:t>
      </w:r>
      <w:r>
        <w:rPr/>
        <w:t xml:space="preserve"> (via </w:t>
      </w:r>
      <w:r>
        <w:rPr>
          <w:rStyle w:val="VerbatimChar"/>
        </w:rPr>
        <w:t>utils/permissions.js</w:t>
      </w:r>
      <w:r>
        <w:rPr/>
        <w:t>).</w:t>
      </w:r>
    </w:p>
    <w:p>
      <w:pPr>
        <w:pStyle w:val="Compact"/>
        <w:numPr>
          <w:ilvl w:val="0"/>
          <w:numId w:val="498"/>
        </w:numPr>
        <w:rPr/>
      </w:pPr>
      <w:r>
        <w:rPr>
          <w:b/>
          <w:bCs/>
        </w:rPr>
        <w:t>Appels API</w:t>
      </w:r>
      <w:r>
        <w:rPr/>
        <w:t xml:space="preserve"> : uniquement via </w:t>
      </w:r>
      <w:r>
        <w:rPr>
          <w:rStyle w:val="VerbatimChar"/>
        </w:rPr>
        <w:t>src/services/api/services.js</w:t>
      </w:r>
      <w:r>
        <w:rPr/>
        <w:t xml:space="preserve"> (objets </w:t>
      </w:r>
      <w:r>
        <w:rPr>
          <w:rStyle w:val="VerbatimChar"/>
        </w:rPr>
        <w:t>xxxService</w:t>
      </w:r>
      <w:r>
        <w:rPr/>
        <w:t xml:space="preserve">) et </w:t>
      </w:r>
      <w:r>
        <w:rPr>
          <w:rStyle w:val="VerbatimChar"/>
        </w:rPr>
        <w:t>endpoints.js</w:t>
      </w:r>
      <w:r>
        <w:rPr/>
        <w:t>. Pas d’URL en dur dans les pages.</w:t>
      </w:r>
    </w:p>
    <w:p>
      <w:pPr>
        <w:pStyle w:val="Compact"/>
        <w:numPr>
          <w:ilvl w:val="0"/>
          <w:numId w:val="499"/>
        </w:numPr>
        <w:rPr/>
      </w:pPr>
      <w:r>
        <w:rPr>
          <w:b/>
          <w:bCs/>
        </w:rPr>
        <w:t>État global</w:t>
      </w:r>
      <w:r>
        <w:rPr/>
        <w:t xml:space="preserve"> : </w:t>
      </w:r>
      <w:r>
        <w:rPr>
          <w:rStyle w:val="VerbatimChar"/>
        </w:rPr>
        <w:t>context/AcademicYearContext.js</w:t>
      </w:r>
      <w:r>
        <w:rPr/>
        <w:t xml:space="preserve"> (année sélectionnée), </w:t>
      </w:r>
      <w:r>
        <w:rPr>
          <w:rStyle w:val="VerbatimChar"/>
        </w:rPr>
        <w:t>context/SidebarContext.js</w:t>
      </w:r>
      <w:r>
        <w:rPr/>
        <w:t>.</w:t>
      </w:r>
      <w:bookmarkEnd w:id="432"/>
      <w:bookmarkEnd w:id="438"/>
    </w:p>
    <w:p>
      <w:pPr>
        <w:pStyle w:val="Heading2"/>
        <w:rPr/>
      </w:pPr>
      <w:bookmarkStart w:id="439" w:name="__RefHeading___Toc15220_1458957718"/>
      <w:bookmarkEnd w:id="439"/>
      <w:r>
        <w:rPr/>
        <w:t>Carte des applications</w:t>
      </w:r>
    </w:p>
    <w:p>
      <w:pPr>
        <w:pStyle w:val="Heading3"/>
        <w:rPr/>
      </w:pPr>
      <w:r>
        <w:rPr/>
        <w:t>Backend (</w:t>
      </w:r>
      <w:r>
        <w:rPr>
          <w:rStyle w:val="VerbatimChar"/>
        </w:rPr>
        <w:t>back-istc/</w:t>
      </w:r>
      <w:r>
        <w:rPr/>
        <w: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1648"/>
        <w:gridCol w:w="2641"/>
        <w:gridCol w:w="5349"/>
      </w:tblGrid>
      <w:tr>
        <w:trPr>
          <w:tblHeader w:val="true"/>
          <w:cantSplit w:val="true"/>
        </w:trPr>
        <w:tc>
          <w:tcPr>
            <w:tcW w:w="164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App</w:t>
            </w:r>
          </w:p>
        </w:tc>
        <w:tc>
          <w:tcPr>
            <w:tcW w:w="2641"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Préfixe d’URL</w:t>
            </w:r>
          </w:p>
        </w:tc>
        <w:tc>
          <w:tcPr>
            <w:tcW w:w="534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Responsabilité</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smart_back</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Projet : </w:t>
            </w:r>
            <w:r>
              <w:rPr>
                <w:rStyle w:val="VerbatimChar"/>
                <w:rFonts w:eastAsia="Calibri" w:cs="Calibri"/>
                <w:kern w:val="0"/>
                <w:lang w:val="fr-FR" w:eastAsia="en-US" w:bidi="ar-SA"/>
              </w:rPr>
              <w:t>settings.py</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urls.py</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testing.py</w:t>
            </w:r>
            <w:r>
              <w:rPr>
                <w:rFonts w:eastAsia="Calibri" w:cs="Calibri"/>
                <w:kern w:val="0"/>
                <w:sz w:val="19"/>
                <w:szCs w:val="19"/>
                <w:lang w:val="fr-FR" w:eastAsia="en-US" w:bidi="ar-SA"/>
              </w:rPr>
              <w:t xml:space="preserve"> (fabriques de test), </w:t>
            </w:r>
            <w:r>
              <w:rPr>
                <w:rStyle w:val="VerbatimChar"/>
                <w:rFonts w:eastAsia="Calibri" w:cs="Calibri"/>
                <w:kern w:val="0"/>
                <w:lang w:val="fr-FR" w:eastAsia="en-US" w:bidi="ar-SA"/>
              </w:rPr>
              <w:t>test_audit.py</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users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/api/auth/</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CustomUser</w:t>
            </w:r>
            <w:r>
              <w:rPr>
                <w:rFonts w:eastAsia="Calibri" w:cs="Calibri"/>
                <w:kern w:val="0"/>
                <w:sz w:val="19"/>
                <w:szCs w:val="19"/>
                <w:lang w:val="fr-FR" w:eastAsia="en-US" w:bidi="ar-SA"/>
              </w:rPr>
              <w:t xml:space="preserve"> (username/mot de passe générés), </w:t>
            </w:r>
            <w:r>
              <w:rPr>
                <w:rStyle w:val="VerbatimChar"/>
                <w:rFonts w:eastAsia="Calibri" w:cs="Calibri"/>
                <w:kern w:val="0"/>
                <w:lang w:val="fr-FR" w:eastAsia="en-US" w:bidi="ar-SA"/>
              </w:rPr>
              <w:t>Role</w:t>
            </w:r>
            <w:r>
              <w:rPr>
                <w:rFonts w:eastAsia="Calibri" w:cs="Calibri"/>
                <w:kern w:val="0"/>
                <w:sz w:val="19"/>
                <w:szCs w:val="19"/>
                <w:lang w:val="fr-FR" w:eastAsia="en-US" w:bidi="ar-SA"/>
              </w:rPr>
              <w:t xml:space="preserve"> (5 domaines × none/lecture/ecriture), login JWT, reCAPTCHA (</w:t>
            </w:r>
            <w:r>
              <w:rPr>
                <w:rStyle w:val="VerbatimChar"/>
                <w:rFonts w:eastAsia="Calibri" w:cs="Calibri"/>
                <w:kern w:val="0"/>
                <w:lang w:val="fr-FR" w:eastAsia="en-US" w:bidi="ar-SA"/>
              </w:rPr>
              <w:t>recaptcha.py</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PortalAccessMiddleware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permissions.py</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academique</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/api/v2/</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Structure (universités, départements, filières, spécialités, cycles, niveaux, classes, années, salles), </w:t>
            </w:r>
            <w:r>
              <w:rPr>
                <w:rStyle w:val="VerbatimChar"/>
                <w:rFonts w:eastAsia="Calibri" w:cs="Calibri"/>
                <w:kern w:val="0"/>
                <w:lang w:val="fr-FR" w:eastAsia="en-US" w:bidi="ar-SA"/>
              </w:rPr>
              <w:t>ParametresGlobaux</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CycleGlobal</w:t>
            </w:r>
            <w:r>
              <w:rPr>
                <w:rFonts w:eastAsia="Calibri" w:cs="Calibri"/>
                <w:kern w:val="0"/>
                <w:sz w:val="19"/>
                <w:szCs w:val="19"/>
                <w:lang w:val="fr-FR" w:eastAsia="en-US" w:bidi="ar-SA"/>
              </w:rPr>
              <w:t>, préinscriptions (+ approbation), inscriptions, épreuves, affectations, configuration établissement, middlewares d’année</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etudiants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/api/etudiants/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Dossier étudiant (matricule auto), </w:t>
            </w:r>
            <w:r>
              <w:rPr>
                <w:rStyle w:val="VerbatimChar"/>
                <w:rFonts w:eastAsia="Calibri" w:cs="Calibri"/>
                <w:kern w:val="0"/>
                <w:lang w:val="fr-FR" w:eastAsia="en-US" w:bidi="ar-SA"/>
              </w:rPr>
              <w:t>Inscription</w:t>
            </w:r>
            <w:r>
              <w:rPr>
                <w:rFonts w:eastAsia="Calibri" w:cs="Calibri"/>
                <w:kern w:val="0"/>
                <w:sz w:val="19"/>
                <w:szCs w:val="19"/>
                <w:lang w:val="fr-FR" w:eastAsia="en-US" w:bidi="ar-SA"/>
              </w:rPr>
              <w:t>, sanctions, portail (</w:t>
            </w:r>
            <w:r>
              <w:rPr>
                <w:rStyle w:val="VerbatimChar"/>
                <w:rFonts w:eastAsia="Calibri" w:cs="Calibri"/>
                <w:kern w:val="0"/>
                <w:lang w:val="fr-FR" w:eastAsia="en-US" w:bidi="ar-SA"/>
              </w:rPr>
              <w:t>me/</w:t>
            </w:r>
            <w:r>
              <w:rPr>
                <w:rFonts w:eastAsia="Calibri" w:cs="Calibri"/>
                <w:kern w:val="0"/>
                <w:sz w:val="19"/>
                <w:szCs w:val="19"/>
                <w:lang w:val="fr-FR" w:eastAsia="en-US" w:bidi="ar-SA"/>
              </w:rPr>
              <w:t>, situation, historique, carte, certificat)</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formateurs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/api/formateurs/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Formateurs (permanent / vacataire), comptes portail, </w:t>
            </w:r>
            <w:r>
              <w:rPr>
                <w:rFonts w:eastAsia="Calibri" w:cs="Calibri"/>
                <w:b/>
                <w:bCs/>
                <w:kern w:val="0"/>
                <w:sz w:val="19"/>
                <w:szCs w:val="19"/>
                <w:lang w:val="fr-FR" w:eastAsia="en-US" w:bidi="ar-SA"/>
              </w:rPr>
              <w:t>API du portail formateur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portal/…</w:t>
            </w:r>
            <w:r>
              <w:rPr>
                <w:rFonts w:eastAsia="Calibri" w:cs="Calibri"/>
                <w:kern w:val="0"/>
                <w:sz w:val="19"/>
                <w:szCs w:val="19"/>
                <w:lang w:val="fr-FR" w:eastAsia="en-US" w:bidi="ar-SA"/>
              </w:rPr>
              <w:t>), documents de cours</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modules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/api/modules/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Cours / modules (coefficient, semestre, classes rattachées)</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emploidutemps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/api/emploi-du-temps/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Créneaux + règles (</w:t>
            </w:r>
            <w:r>
              <w:rPr>
                <w:rStyle w:val="VerbatimChar"/>
                <w:rFonts w:eastAsia="Calibri" w:cs="Calibri"/>
                <w:kern w:val="0"/>
                <w:lang w:val="fr-FR" w:eastAsia="en-US" w:bidi="ar-SA"/>
              </w:rPr>
              <w:t>clean()</w:t>
            </w:r>
            <w:r>
              <w:rPr>
                <w:rFonts w:eastAsia="Calibri" w:cs="Calibri"/>
                <w:kern w:val="0"/>
                <w:sz w:val="19"/>
                <w:szCs w:val="19"/>
                <w:lang w:val="fr-FR" w:eastAsia="en-US" w:bidi="ar-SA"/>
              </w:rPr>
              <w:t>), documents d’emploi du temps officiels</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notes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/api/notes/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Notes (CC / SN / rattrapage), saisie groupée, validation, relevés, rattrapages, portail (</w:t>
            </w:r>
            <w:r>
              <w:rPr>
                <w:rStyle w:val="VerbatimChar"/>
                <w:rFonts w:eastAsia="Calibri" w:cs="Calibri"/>
                <w:kern w:val="0"/>
                <w:lang w:val="fr-FR" w:eastAsia="en-US" w:bidi="ar-SA"/>
              </w:rPr>
              <w:t>me/</w:t>
            </w:r>
            <w:r>
              <w:rPr>
                <w:rFonts w:eastAsia="Calibri" w:cs="Calibri"/>
                <w:kern w:val="0"/>
                <w:sz w:val="19"/>
                <w:szCs w:val="19"/>
                <w:lang w:val="fr-FR" w:eastAsia="en-US" w:bidi="ar-SA"/>
              </w:rPr>
              <w:t>)</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assiduite</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/api/assiduite/</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Absences et retards des étudiants</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paiements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/api/paiements/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/api/v2/frais/</w:t>
            </w:r>
            <w:r>
              <w:rPr>
                <w:rFonts w:eastAsia="Calibri" w:cs="Calibri"/>
                <w:kern w:val="0"/>
                <w:sz w:val="19"/>
                <w:szCs w:val="19"/>
                <w:lang w:val="fr-FR" w:eastAsia="en-US" w:bidi="ar-SA"/>
              </w:rPr>
              <w:t xml:space="preserve"> …</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Frais, paiements, bourses, réductions, échéanciers (classe / filière / étudiant), alertes, tableau de bord, </w:t>
            </w:r>
            <w:r>
              <w:rPr>
                <w:rStyle w:val="VerbatimChar"/>
                <w:rFonts w:eastAsia="Calibri" w:cs="Calibri"/>
                <w:kern w:val="0"/>
                <w:lang w:val="fr-FR" w:eastAsia="en-US" w:bidi="ar-SA"/>
              </w:rPr>
              <w:t>finance.py</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paie</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/api/paie/</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Primes, retenues, avances, campagnes, bulletins, statistiques</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vacations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/api/vacations/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Coordinations de filière, pointages, récaps mensuels, validation finance, « mes heures »</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personnels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/api/personnels/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Personnel non enseignant, ancienneté, soldes de congés</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conges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/api/conges/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Congés (jours ouvrés, solde)</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inventaires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/api/inventaires/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Articles, exemplaires, mouvements</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demandes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/api/demandes/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Demandes de matériel (soumettre → approuver → livrer)</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revenus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depenses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/api/revenus/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/api/depenses/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Trésorerie</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communication</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/api/communication/</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Messages / actualités (modèle </w:t>
            </w:r>
            <w:r>
              <w:rPr>
                <w:rStyle w:val="VerbatimChar"/>
                <w:rFonts w:eastAsia="Calibri" w:cs="Calibri"/>
                <w:kern w:val="0"/>
                <w:lang w:val="fr-FR" w:eastAsia="en-US" w:bidi="ar-SA"/>
              </w:rPr>
              <w:t>Communication</w:t>
            </w:r>
            <w:r>
              <w:rPr>
                <w:rFonts w:eastAsia="Calibri" w:cs="Calibri"/>
                <w:kern w:val="0"/>
                <w:sz w:val="19"/>
                <w:szCs w:val="19"/>
                <w:lang w:val="fr-FR" w:eastAsia="en-US" w:bidi="ar-SA"/>
              </w:rPr>
              <w:t>)</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files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/api/files/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Fichiers génériques (upload, téléchargement)</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logs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/api/logs/</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Journal d’activité</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admin_api</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Ancienne API (students / trainers) </w:t>
            </w:r>
            <w:r>
              <w:rPr>
                <w:rFonts w:eastAsia="Calibri" w:cs="Calibri"/>
                <w:b/>
                <w:bCs/>
                <w:kern w:val="0"/>
                <w:sz w:val="19"/>
                <w:szCs w:val="19"/>
                <w:lang w:val="fr-FR" w:eastAsia="en-US" w:bidi="ar-SA"/>
              </w:rPr>
              <w:t>non branchée</w:t>
            </w:r>
            <w:r>
              <w:rPr>
                <w:rFonts w:eastAsia="Calibri" w:cs="Calibri"/>
                <w:kern w:val="0"/>
                <w:sz w:val="19"/>
                <w:szCs w:val="19"/>
                <w:lang w:val="fr-FR" w:eastAsia="en-US" w:bidi="ar-SA"/>
              </w:rPr>
              <w:t xml:space="preserve"> dans </w:t>
            </w:r>
            <w:r>
              <w:rPr>
                <w:rStyle w:val="VerbatimChar"/>
                <w:rFonts w:eastAsia="Calibri" w:cs="Calibri"/>
                <w:kern w:val="0"/>
                <w:lang w:val="fr-FR" w:eastAsia="en-US" w:bidi="ar-SA"/>
              </w:rPr>
              <w:t>smart_back/urls.py</w:t>
            </w:r>
            <w:r>
              <w:rPr>
                <w:rFonts w:eastAsia="Calibri" w:cs="Calibri"/>
                <w:kern w:val="0"/>
                <w:sz w:val="19"/>
                <w:szCs w:val="19"/>
                <w:lang w:val="fr-FR" w:eastAsia="en-US" w:bidi="ar-SA"/>
              </w:rPr>
              <w:t xml:space="preserve"> : candidate à la suppression</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Tests de flux</w:t>
            </w:r>
            <w:r>
              <w:rPr>
                <w:rFonts w:eastAsia="Calibri" w:cs="Calibri"/>
                <w:kern w:val="0"/>
                <w:sz w:val="19"/>
                <w:szCs w:val="19"/>
                <w:lang w:val="fr-FR" w:eastAsia="en-US" w:bidi="ar-SA"/>
              </w:rPr>
              <w:t xml:space="preserve"> de bout en bout (voir Tests)</w:t>
            </w:r>
          </w:p>
        </w:tc>
      </w:tr>
      <w:tr>
        <w:trPr>
          <w:cantSplit w:val="true"/>
        </w:trPr>
        <w:tc>
          <w:tcPr>
            <w:tcW w:w="164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scripts/</w:t>
            </w:r>
          </w:p>
        </w:tc>
        <w:tc>
          <w:tcPr>
            <w:tcW w:w="2641"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c>
          <w:tcPr>
            <w:tcW w:w="53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Sauvegarde PostgreSQL, scripts de données de démonstration (ne jamais lancer en prod)</w:t>
            </w:r>
            <w:bookmarkStart w:id="440" w:name="backend-back-istc"/>
            <w:bookmarkEnd w:id="440"/>
          </w:p>
        </w:tc>
      </w:tr>
    </w:tbl>
    <w:p>
      <w:pPr>
        <w:pStyle w:val="Heading3"/>
        <w:rPr/>
      </w:pPr>
      <w:r>
        <w:rPr/>
        <w:t>Frontend (</w:t>
      </w:r>
      <w:r>
        <w:rPr>
          <w:rStyle w:val="VerbatimChar"/>
        </w:rPr>
        <w:t>frontend/src/</w:t>
      </w:r>
      <w:r>
        <w:rPr/>
        <w:t>)</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4407"/>
        <w:gridCol w:w="5230"/>
      </w:tblGrid>
      <w:tr>
        <w:trPr>
          <w:tblHeader w:val="true"/>
          <w:cantSplit w:val="true"/>
        </w:trPr>
        <w:tc>
          <w:tcPr>
            <w:tcW w:w="440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Dossier</w:t>
            </w:r>
          </w:p>
        </w:tc>
        <w:tc>
          <w:tcPr>
            <w:tcW w:w="523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Contenu</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app/(dashboard)/…</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Pages de l’administration (une page = un dossier </w:t>
            </w:r>
            <w:r>
              <w:rPr>
                <w:rStyle w:val="VerbatimChar"/>
                <w:rFonts w:eastAsia="Calibri" w:cs="Calibri"/>
                <w:kern w:val="0"/>
                <w:lang w:val="fr-FR" w:eastAsia="en-US" w:bidi="ar-SA"/>
              </w:rPr>
              <w:t>page.js</w:t>
            </w:r>
            <w:r>
              <w:rPr>
                <w:rFonts w:eastAsia="Calibri" w:cs="Calibri"/>
                <w:kern w:val="0"/>
                <w:sz w:val="19"/>
                <w:szCs w:val="19"/>
                <w:lang w:val="fr-FR" w:eastAsia="en-US" w:bidi="ar-SA"/>
              </w:rPr>
              <w:t>)</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app/(formateur-portal)/formateur-portal/…</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Portail formateur</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app/(portal)/portal/…</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Portail étudiant</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app/login</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app/preinscription</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Pages publiques</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app/api/media-download/route.js</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Proxy de téléchargement des fichiers</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components/layout/</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Header</w:t>
            </w:r>
            <w:r>
              <w:rPr>
                <w:rFonts w:eastAsia="Calibri" w:cs="Calibri"/>
                <w:kern w:val="0"/>
                <w:sz w:val="19"/>
                <w:szCs w:val="19"/>
                <w:lang w:val="fr-FR" w:eastAsia="en-US" w:bidi="ar-SA"/>
              </w:rPr>
              <w:t xml:space="preserve"> (sélecteur d’année, profil), </w:t>
            </w:r>
            <w:r>
              <w:rPr>
                <w:rStyle w:val="VerbatimChar"/>
                <w:rFonts w:eastAsia="Calibri" w:cs="Calibri"/>
                <w:kern w:val="0"/>
                <w:lang w:val="fr-FR" w:eastAsia="en-US" w:bidi="ar-SA"/>
              </w:rPr>
              <w:t>Sidebar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FormateurSidebar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StudentSidebar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PortalGuard</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components/&lt;domaine&gt;/</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Composants par domaine : </w:t>
            </w:r>
            <w:r>
              <w:rPr>
                <w:rStyle w:val="VerbatimChar"/>
                <w:rFonts w:eastAsia="Calibri" w:cs="Calibri"/>
                <w:kern w:val="0"/>
                <w:lang w:val="fr-FR" w:eastAsia="en-US" w:bidi="ar-SA"/>
              </w:rPr>
              <w:t>finances/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grades/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schedule/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students/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system/</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settings/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vacations/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importExport/</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certificates/</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components/common/</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Squelettes de chargement, </w:t>
            </w:r>
            <w:r>
              <w:rPr>
                <w:rStyle w:val="VerbatimChar"/>
                <w:rFonts w:eastAsia="Calibri" w:cs="Calibri"/>
                <w:kern w:val="0"/>
                <w:lang w:val="fr-FR" w:eastAsia="en-US" w:bidi="ar-SA"/>
              </w:rPr>
              <w:t>ErrorState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SearchableSelect</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services/api/</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client.js</w:t>
            </w:r>
            <w:r>
              <w:rPr>
                <w:rFonts w:eastAsia="Calibri" w:cs="Calibri"/>
                <w:kern w:val="0"/>
                <w:sz w:val="19"/>
                <w:szCs w:val="19"/>
                <w:lang w:val="fr-FR" w:eastAsia="en-US" w:bidi="ar-SA"/>
              </w:rPr>
              <w:t xml:space="preserve"> (axios, intercepteurs, </w:t>
            </w:r>
            <w:r>
              <w:rPr>
                <w:rStyle w:val="VerbatimChar"/>
                <w:rFonts w:eastAsia="Calibri" w:cs="Calibri"/>
                <w:kern w:val="0"/>
                <w:lang w:val="fr-FR" w:eastAsia="en-US" w:bidi="ar-SA"/>
              </w:rPr>
              <w:t>getMediaUrl</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clearSession</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endpoints.js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services.js</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config/routes.js</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Menus des trois espaces</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utils/permissions.js</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useUserPermissions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hasReadAccess</w:t>
            </w:r>
            <w:r>
              <w:rPr>
                <w:rFonts w:eastAsia="Calibri" w:cs="Calibri"/>
                <w:kern w:val="0"/>
                <w:sz w:val="19"/>
                <w:szCs w:val="19"/>
                <w:lang w:val="fr-FR" w:eastAsia="en-US" w:bidi="ar-SA"/>
              </w:rPr>
              <w:t>, rôles admin</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context/</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Année académique, barre latérale</w:t>
            </w:r>
          </w:p>
        </w:tc>
      </w:tr>
      <w:tr>
        <w:trPr>
          <w:cantSplit w:val="true"/>
        </w:trPr>
        <w:tc>
          <w:tcPr>
            <w:tcW w:w="440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theme/</w:t>
            </w:r>
          </w:p>
        </w:tc>
        <w:tc>
          <w:tcPr>
            <w:tcW w:w="523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Thème MUI</w:t>
            </w:r>
            <w:bookmarkStart w:id="441" w:name="carte-des-applications"/>
            <w:bookmarkEnd w:id="441"/>
          </w:p>
        </w:tc>
      </w:tr>
    </w:tbl>
    <w:p>
      <w:pPr>
        <w:pStyle w:val="Heading2"/>
        <w:rPr/>
      </w:pPr>
      <w:bookmarkStart w:id="442" w:name="__RefHeading___Toc15222_1458957718"/>
      <w:bookmarkEnd w:id="442"/>
      <w:r>
        <w:rPr/>
        <w:t>Permissions et cloisonnement</w:t>
      </w:r>
    </w:p>
    <w:p>
      <w:pPr>
        <w:pStyle w:val="FirstParagraph"/>
        <w:rPr/>
      </w:pPr>
      <w:r>
        <w:rPr/>
        <w:t xml:space="preserve">La sécurité repose sur </w:t>
      </w:r>
      <w:r>
        <w:rPr>
          <w:b/>
          <w:bCs/>
        </w:rPr>
        <w:t>trois niveaux</w:t>
      </w:r>
      <w:r>
        <w:rPr/>
        <w:t xml:space="preserve">, tous côté serveur. Le masquage des menus dans le frontend n’est qu’un confort : </w:t>
      </w:r>
      <w:r>
        <w:rPr>
          <w:b/>
          <w:bCs/>
        </w:rPr>
        <w:t>ne jamais compter dessus</w:t>
      </w:r>
      <w:r>
        <w:rPr/>
        <w:t>.</w:t>
      </w:r>
    </w:p>
    <w:p>
      <w:pPr>
        <w:pStyle w:val="Heading3"/>
        <w:rPr/>
      </w:pPr>
      <w:bookmarkStart w:id="443" w:name="X310f6e1814987e925517c0f262ff12908d73f1a"/>
      <w:bookmarkEnd w:id="443"/>
      <w:r>
        <w:rPr/>
        <w:t xml:space="preserve">1. Comptes portail : liste blanche </w:t>
      </w:r>
      <w:r>
        <w:rPr>
          <w:rStyle w:val="VerbatimChar"/>
        </w:rPr>
        <w:t>PORTAL_RULES</w:t>
      </w:r>
    </w:p>
    <w:p>
      <w:pPr>
        <w:pStyle w:val="FirstParagraph"/>
        <w:rPr/>
      </w:pPr>
      <w:r>
        <w:rPr/>
        <w:t xml:space="preserve">Fichier : </w:t>
      </w:r>
      <w:r>
        <w:rPr>
          <w:rStyle w:val="VerbatimChar"/>
        </w:rPr>
        <w:t>back-istc/users/middleware.py</w:t>
      </w:r>
      <w:r>
        <w:rPr/>
        <w:t>.</w:t>
      </w:r>
    </w:p>
    <w:p>
      <w:pPr>
        <w:pStyle w:val="Compact"/>
        <w:numPr>
          <w:ilvl w:val="0"/>
          <w:numId w:val="500"/>
        </w:numPr>
        <w:rPr/>
      </w:pPr>
      <w:r>
        <w:rPr/>
        <w:t xml:space="preserve">Un utilisateur dont </w:t>
      </w:r>
      <w:r>
        <w:rPr>
          <w:rStyle w:val="VerbatimChar"/>
        </w:rPr>
        <w:t>role == "etudiant"</w:t>
      </w:r>
      <w:r>
        <w:rPr/>
        <w:t xml:space="preserve"> ou </w:t>
      </w:r>
      <w:r>
        <w:rPr>
          <w:rStyle w:val="VerbatimChar"/>
        </w:rPr>
        <w:t>role == "formateur"</w:t>
      </w:r>
      <w:r>
        <w:rPr/>
        <w:t xml:space="preserve"> (et non admin) ne peut appeler </w:t>
      </w:r>
      <w:r>
        <w:rPr>
          <w:b/>
          <w:bCs/>
        </w:rPr>
        <w:t>que</w:t>
      </w:r>
      <w:r>
        <w:rPr/>
        <w:t xml:space="preserve"> les couples </w:t>
      </w:r>
      <w:r>
        <w:rPr>
          <w:i/>
          <w:iCs/>
        </w:rPr>
        <w:t>(méthodes, regex d’URL)</w:t>
      </w:r>
      <w:r>
        <w:rPr/>
        <w:t xml:space="preserve"> listés dans </w:t>
      </w:r>
      <w:r>
        <w:rPr>
          <w:rStyle w:val="VerbatimChar"/>
        </w:rPr>
        <w:t>PORTAL_RULES[role]</w:t>
      </w:r>
      <w:r>
        <w:rPr/>
        <w:t xml:space="preserve">. Tout le reste → </w:t>
      </w:r>
      <w:r>
        <w:rPr>
          <w:b/>
          <w:bCs/>
        </w:rPr>
        <w:t>403</w:t>
      </w:r>
      <w:r>
        <w:rPr/>
        <w:t>.</w:t>
      </w:r>
    </w:p>
    <w:p>
      <w:pPr>
        <w:pStyle w:val="Compact"/>
        <w:numPr>
          <w:ilvl w:val="0"/>
          <w:numId w:val="501"/>
        </w:numPr>
        <w:rPr/>
      </w:pPr>
      <w:r>
        <w:rPr>
          <w:rStyle w:val="VerbatimChar"/>
        </w:rPr>
        <w:t>_REFERENTIEL</w:t>
      </w:r>
      <w:r>
        <w:rPr/>
        <w:t xml:space="preserve"> regroupe les routes de référence en lecture seule communes aux deux portails.</w:t>
      </w:r>
    </w:p>
    <w:p>
      <w:pPr>
        <w:pStyle w:val="Compact"/>
        <w:numPr>
          <w:ilvl w:val="0"/>
          <w:numId w:val="502"/>
        </w:numPr>
        <w:rPr/>
      </w:pPr>
      <w:r>
        <w:rPr/>
        <w:t>Le middleware lit le JWT lui-même (</w:t>
      </w:r>
      <w:r>
        <w:rPr>
          <w:rStyle w:val="VerbatimChar"/>
        </w:rPr>
        <w:t>jwt_user</w:t>
      </w:r>
      <w:r>
        <w:rPr/>
        <w:t xml:space="preserve">), car </w:t>
      </w:r>
      <w:r>
        <w:rPr>
          <w:rStyle w:val="VerbatimChar"/>
        </w:rPr>
        <w:t>request.user</w:t>
      </w:r>
      <w:r>
        <w:rPr/>
        <w:t xml:space="preserve"> n’est pas encore authentifié par DRF à ce stade.</w:t>
      </w:r>
    </w:p>
    <w:p>
      <w:pPr>
        <w:pStyle w:val="EncadreDanger"/>
        <w:rPr/>
      </w:pPr>
      <w:r>
        <w:rPr>
          <w:b/>
          <w:bCs/>
        </w:rPr>
        <w:t>Ajouter une route utilisée par un portail</w:t>
      </w:r>
    </w:p>
    <w:p>
      <w:pPr>
        <w:pStyle w:val="Compact"/>
        <w:numPr>
          <w:ilvl w:val="0"/>
          <w:numId w:val="503"/>
        </w:numPr>
        <w:rPr/>
      </w:pPr>
      <w:r>
        <w:rPr/>
        <w:t xml:space="preserve">Ajoutez la règle dans </w:t>
      </w:r>
      <w:r>
        <w:rPr>
          <w:rStyle w:val="VerbatimChar"/>
        </w:rPr>
        <w:t>PORTAL_RULES</w:t>
      </w:r>
      <w:r>
        <w:rPr/>
        <w:t xml:space="preserve"> (méthodes minimales : </w:t>
      </w:r>
      <w:r>
        <w:rPr>
          <w:rStyle w:val="VerbatimChar"/>
        </w:rPr>
        <w:t>SAFE</w:t>
      </w:r>
      <w:r>
        <w:rPr/>
        <w:t xml:space="preserve"> si lecture seule).</w:t>
      </w:r>
    </w:p>
    <w:p>
      <w:pPr>
        <w:pStyle w:val="Compact"/>
        <w:numPr>
          <w:ilvl w:val="0"/>
          <w:numId w:val="504"/>
        </w:numPr>
        <w:rPr/>
      </w:pPr>
      <w:r>
        <w:rPr/>
        <w:t xml:space="preserve">Dans la </w:t>
      </w:r>
      <w:r>
        <w:rPr>
          <w:b/>
          <w:bCs/>
        </w:rPr>
        <w:t>vue</w:t>
      </w:r>
      <w:r>
        <w:rPr/>
        <w:t>, filtrez les données sur l’utilisateur connecté (le middleware autorise la route, pas les données !).</w:t>
      </w:r>
    </w:p>
    <w:p>
      <w:pPr>
        <w:pStyle w:val="Compact"/>
        <w:numPr>
          <w:ilvl w:val="0"/>
          <w:numId w:val="505"/>
        </w:numPr>
        <w:rPr/>
      </w:pPr>
      <w:r>
        <w:rPr/>
        <w:t xml:space="preserve">Ajoutez l’URL à </w:t>
      </w:r>
      <w:r>
        <w:rPr>
          <w:rStyle w:val="VerbatimChar"/>
        </w:rPr>
        <w:t>ROUTES_ETUDIANT</w:t>
      </w:r>
      <w:r>
        <w:rPr/>
        <w:t xml:space="preserve"> / </w:t>
      </w:r>
      <w:r>
        <w:rPr>
          <w:rStyle w:val="VerbatimChar"/>
        </w:rPr>
        <w:t>ROUTES_FORMATEUR</w:t>
      </w:r>
      <w:r>
        <w:rPr/>
        <w:t xml:space="preserve"> dans </w:t>
      </w:r>
      <w:r>
        <w:rPr>
          <w:rStyle w:val="VerbatimChar"/>
        </w:rPr>
        <w:t>tests/test_flux_portails.py</w:t>
      </w:r>
      <w:r>
        <w:rPr/>
        <w:t>.</w:t>
      </w:r>
    </w:p>
    <w:p>
      <w:pPr>
        <w:pStyle w:val="EncadreDanger"/>
        <w:rPr/>
      </w:pPr>
      <w:r>
        <w:rPr/>
        <w:t>Sans l’étape 1, la page du portail reçoit un 403 ; sans l’étape 2, un étudiant pourrait lire les données d’un autre.</w:t>
      </w:r>
    </w:p>
    <w:p>
      <w:pPr>
        <w:pStyle w:val="Normal"/>
        <w:spacing w:before="0" w:after="60"/>
        <w:rPr>
          <w:sz w:val="8"/>
        </w:rPr>
      </w:pPr>
      <w:r>
        <w:rPr>
          <w:sz w:val="8"/>
        </w:rPr>
      </w:r>
      <w:bookmarkStart w:id="444" w:name="X310f6e1814987e925517c0f262ff12908d73f1a"/>
      <w:bookmarkStart w:id="445" w:name="X310f6e1814987e925517c0f262ff12908d73f1a"/>
      <w:bookmarkEnd w:id="445"/>
    </w:p>
    <w:p>
      <w:pPr>
        <w:pStyle w:val="Heading3"/>
        <w:rPr/>
      </w:pPr>
      <w:bookmarkStart w:id="446" w:name="personnel-matrice-des-droits-regles"/>
      <w:r>
        <w:rPr/>
        <w:t xml:space="preserve">2. Personnel : matrice des droits </w:t>
      </w:r>
      <w:r>
        <w:rPr>
          <w:rStyle w:val="VerbatimChar"/>
        </w:rPr>
        <w:t>REGLES</w:t>
      </w:r>
    </w:p>
    <w:p>
      <w:pPr>
        <w:pStyle w:val="FirstParagraph"/>
        <w:rPr/>
      </w:pPr>
      <w:r>
        <w:rPr/>
        <w:t xml:space="preserve">Fichier : </w:t>
      </w:r>
      <w:r>
        <w:rPr>
          <w:rStyle w:val="VerbatimChar"/>
        </w:rPr>
        <w:t>back-istc/users/acces_personnel.py</w:t>
      </w:r>
      <w:r>
        <w:rPr/>
        <w:t xml:space="preserve"> (middleware </w:t>
      </w:r>
      <w:r>
        <w:rPr>
          <w:rStyle w:val="VerbatimChar"/>
        </w:rPr>
        <w:t>StaffAccessMiddleware</w:t>
      </w:r>
      <w:r>
        <w:rPr/>
        <w:t xml:space="preserve">, placé juste après </w:t>
      </w:r>
      <w:r>
        <w:rPr>
          <w:rStyle w:val="VerbatimChar"/>
        </w:rPr>
        <w:t>PortalAccessMiddleware</w:t>
      </w:r>
      <w:r>
        <w:rPr/>
        <w:t>).</w:t>
      </w:r>
    </w:p>
    <w:p>
      <w:pPr>
        <w:pStyle w:val="BodyText"/>
        <w:rPr/>
      </w:pPr>
      <w:r>
        <w:rPr/>
        <w:t xml:space="preserve">Pour un compte du personnel (ni administrateur, ni étudiant, ni formateur), chaque requête </w:t>
      </w:r>
      <w:r>
        <w:rPr>
          <w:rStyle w:val="VerbatimChar"/>
        </w:rPr>
        <w:t>/api/…</w:t>
      </w:r>
      <w:r>
        <w:rPr/>
        <w:t xml:space="preserve"> est comparée à la liste </w:t>
      </w:r>
      <w:r>
        <w:rPr>
          <w:rStyle w:val="VerbatimChar"/>
        </w:rPr>
        <w:t>REGLES</w:t>
      </w:r>
      <w:r>
        <w:rPr/>
        <w:t xml:space="preserve"> ; </w:t>
      </w:r>
      <w:r>
        <w:rPr>
          <w:b/>
          <w:bCs/>
        </w:rPr>
        <w:t>la première règle qui correspond s’applique</w:t>
      </w:r>
      <w:r>
        <w:rPr/>
        <w:t xml:space="preserve"> :</w:t>
      </w:r>
    </w:p>
    <w:p>
      <w:pPr>
        <w:pStyle w:val="SourceCode"/>
        <w:rPr/>
      </w:pPr>
      <w:r>
        <w:rPr>
          <w:rStyle w:val="CommentTok"/>
        </w:rPr>
        <w:t># (motif d'URL, domaines autorisés en lecture, domaines autorisés en écriture)</w:t>
      </w:r>
      <w:r>
        <w:rPr/>
        <w:br/>
      </w:r>
      <w:r>
        <w:rPr>
          <w:rStyle w:val="NormalTok"/>
        </w:rPr>
        <w:t>(</w:t>
      </w:r>
      <w:r>
        <w:rPr>
          <w:rStyle w:val="VerbatimStringTok"/>
        </w:rPr>
        <w:t>r"^/api/etudiants(/|$)"</w:t>
      </w:r>
      <w:r>
        <w:rPr>
          <w:rStyle w:val="NormalTok"/>
        </w:rPr>
        <w:t>, (ET, PEDA, FIN), (ET,)),</w:t>
      </w:r>
      <w:r>
        <w:rPr/>
        <w:br/>
      </w:r>
      <w:r>
        <w:rPr>
          <w:rStyle w:val="NormalTok"/>
        </w:rPr>
        <w:t>(</w:t>
      </w:r>
      <w:r>
        <w:rPr>
          <w:rStyle w:val="VerbatimStringTok"/>
        </w:rPr>
        <w:t>r"^/api/paie(/|$)"</w:t>
      </w:r>
      <w:r>
        <w:rPr>
          <w:rStyle w:val="NormalTok"/>
        </w:rPr>
        <w:t>,      (FIN, RH),       (FIN,)),</w:t>
      </w:r>
      <w:r>
        <w:rPr/>
        <w:br/>
      </w:r>
      <w:r>
        <w:rPr>
          <w:rStyle w:val="NormalTok"/>
        </w:rPr>
        <w:t>(</w:t>
      </w:r>
      <w:r>
        <w:rPr>
          <w:rStyle w:val="VerbatimStringTok"/>
        </w:rPr>
        <w:t>r"^/api/v2/(parametres-globaux|cycles-globaux|configuration-etablissement)(/|$)"</w:t>
      </w:r>
      <w:r>
        <w:rPr>
          <w:rStyle w:val="NormalTok"/>
        </w:rPr>
        <w:t>, TOUS, ADMIN),</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805"/>
        <w:gridCol w:w="6832"/>
      </w:tblGrid>
      <w:tr>
        <w:trPr>
          <w:tblHeader w:val="true"/>
          <w:cantSplit w:val="true"/>
        </w:trPr>
        <w:tc>
          <w:tcPr>
            <w:tcW w:w="280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Méthode</w:t>
            </w:r>
          </w:p>
        </w:tc>
        <w:tc>
          <w:tcPr>
            <w:tcW w:w="683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Condition</w:t>
            </w:r>
          </w:p>
        </w:tc>
      </w:tr>
      <w:tr>
        <w:trPr>
          <w:cantSplit w:val="true"/>
        </w:trPr>
        <w:tc>
          <w:tcPr>
            <w:tcW w:w="28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GET, HEAD, OPTIONS</w:t>
            </w:r>
          </w:p>
        </w:tc>
        <w:tc>
          <w:tcPr>
            <w:tcW w:w="683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niveau </w:t>
            </w:r>
            <w:r>
              <w:rPr>
                <w:rStyle w:val="VerbatimChar"/>
                <w:rFonts w:eastAsia="Calibri" w:cs="Calibri"/>
                <w:kern w:val="0"/>
                <w:lang w:val="fr-FR" w:eastAsia="en-US" w:bidi="ar-SA"/>
              </w:rPr>
              <w:t>lecture</w:t>
            </w:r>
            <w:r>
              <w:rPr>
                <w:rFonts w:eastAsia="Calibri" w:cs="Calibri"/>
                <w:kern w:val="0"/>
                <w:sz w:val="19"/>
                <w:szCs w:val="19"/>
                <w:lang w:val="fr-FR" w:eastAsia="en-US" w:bidi="ar-SA"/>
              </w:rPr>
              <w:t xml:space="preserve"> ou </w:t>
            </w:r>
            <w:r>
              <w:rPr>
                <w:rStyle w:val="VerbatimChar"/>
                <w:rFonts w:eastAsia="Calibri" w:cs="Calibri"/>
                <w:kern w:val="0"/>
                <w:lang w:val="fr-FR" w:eastAsia="en-US" w:bidi="ar-SA"/>
              </w:rPr>
              <w:t>ecriture</w:t>
            </w:r>
            <w:r>
              <w:rPr>
                <w:rFonts w:eastAsia="Calibri" w:cs="Calibri"/>
                <w:kern w:val="0"/>
                <w:sz w:val="19"/>
                <w:szCs w:val="19"/>
                <w:lang w:val="fr-FR" w:eastAsia="en-US" w:bidi="ar-SA"/>
              </w:rPr>
              <w:t xml:space="preserve"> sur </w:t>
            </w:r>
            <w:r>
              <w:rPr>
                <w:rFonts w:eastAsia="Calibri" w:cs="Calibri"/>
                <w:b/>
                <w:bCs/>
                <w:kern w:val="0"/>
                <w:sz w:val="19"/>
                <w:szCs w:val="19"/>
                <w:lang w:val="fr-FR" w:eastAsia="en-US" w:bidi="ar-SA"/>
              </w:rPr>
              <w:t>un</w:t>
            </w:r>
            <w:r>
              <w:rPr>
                <w:rFonts w:eastAsia="Calibri" w:cs="Calibri"/>
                <w:kern w:val="0"/>
                <w:sz w:val="19"/>
                <w:szCs w:val="19"/>
                <w:lang w:val="fr-FR" w:eastAsia="en-US" w:bidi="ar-SA"/>
              </w:rPr>
              <w:t xml:space="preserve"> des domaines de lecture</w:t>
            </w:r>
          </w:p>
        </w:tc>
      </w:tr>
      <w:tr>
        <w:trPr>
          <w:cantSplit w:val="true"/>
        </w:trPr>
        <w:tc>
          <w:tcPr>
            <w:tcW w:w="28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POST, PUT, PATCH, DELETE</w:t>
            </w:r>
          </w:p>
        </w:tc>
        <w:tc>
          <w:tcPr>
            <w:tcW w:w="683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niveau </w:t>
            </w:r>
            <w:r>
              <w:rPr>
                <w:rStyle w:val="VerbatimChar"/>
                <w:rFonts w:eastAsia="Calibri" w:cs="Calibri"/>
                <w:kern w:val="0"/>
                <w:lang w:val="fr-FR" w:eastAsia="en-US" w:bidi="ar-SA"/>
              </w:rPr>
              <w:t>ecriture</w:t>
            </w:r>
            <w:r>
              <w:rPr>
                <w:rFonts w:eastAsia="Calibri" w:cs="Calibri"/>
                <w:kern w:val="0"/>
                <w:sz w:val="19"/>
                <w:szCs w:val="19"/>
                <w:lang w:val="fr-FR" w:eastAsia="en-US" w:bidi="ar-SA"/>
              </w:rPr>
              <w:t xml:space="preserve"> sur </w:t>
            </w:r>
            <w:r>
              <w:rPr>
                <w:rFonts w:eastAsia="Calibri" w:cs="Calibri"/>
                <w:b/>
                <w:bCs/>
                <w:kern w:val="0"/>
                <w:sz w:val="19"/>
                <w:szCs w:val="19"/>
                <w:lang w:val="fr-FR" w:eastAsia="en-US" w:bidi="ar-SA"/>
              </w:rPr>
              <w:t>un</w:t>
            </w:r>
            <w:r>
              <w:rPr>
                <w:rFonts w:eastAsia="Calibri" w:cs="Calibri"/>
                <w:kern w:val="0"/>
                <w:sz w:val="19"/>
                <w:szCs w:val="19"/>
                <w:lang w:val="fr-FR" w:eastAsia="en-US" w:bidi="ar-SA"/>
              </w:rPr>
              <w:t xml:space="preserve"> des domaines d’écriture</w:t>
            </w:r>
          </w:p>
        </w:tc>
      </w:tr>
      <w:tr>
        <w:trPr>
          <w:cantSplit w:val="true"/>
        </w:trPr>
        <w:tc>
          <w:tcPr>
            <w:tcW w:w="28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TOUS</w:t>
            </w:r>
          </w:p>
        </w:tc>
        <w:tc>
          <w:tcPr>
            <w:tcW w:w="683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tout compte du personnel</w:t>
            </w:r>
          </w:p>
        </w:tc>
      </w:tr>
      <w:tr>
        <w:trPr>
          <w:cantSplit w:val="true"/>
        </w:trPr>
        <w:tc>
          <w:tcPr>
            <w:tcW w:w="28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ADMIN</w:t>
            </w:r>
          </w:p>
        </w:tc>
        <w:tc>
          <w:tcPr>
            <w:tcW w:w="683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administrateurs uniquement</w:t>
            </w:r>
          </w:p>
        </w:tc>
      </w:tr>
      <w:tr>
        <w:trPr>
          <w:cantSplit w:val="true"/>
        </w:trPr>
        <w:tc>
          <w:tcPr>
            <w:tcW w:w="280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Route sans règle</w:t>
            </w:r>
          </w:p>
        </w:tc>
        <w:tc>
          <w:tcPr>
            <w:tcW w:w="683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administrateurs uniquement</w:t>
            </w:r>
            <w:r>
              <w:rPr>
                <w:rFonts w:eastAsia="Calibri" w:cs="Calibri"/>
                <w:kern w:val="0"/>
                <w:sz w:val="19"/>
                <w:szCs w:val="19"/>
                <w:lang w:val="fr-FR" w:eastAsia="en-US" w:bidi="ar-SA"/>
              </w:rPr>
              <w:t xml:space="preserve"> (refus par défaut)</w:t>
            </w:r>
          </w:p>
        </w:tc>
      </w:tr>
    </w:tbl>
    <w:p>
      <w:pPr>
        <w:pStyle w:val="BodyText"/>
        <w:rPr/>
      </w:pPr>
      <w:r>
        <w:rPr/>
        <w:t xml:space="preserve">Le refus renvoie </w:t>
      </w:r>
      <w:r>
        <w:rPr>
          <w:b/>
          <w:bCs/>
        </w:rPr>
        <w:t>403</w:t>
      </w:r>
      <w:r>
        <w:rPr/>
        <w:t xml:space="preserve"> avec un message explicite (« Accès refusé : votre rôle n’a pas le droit Finances en écriture. »).</w:t>
      </w:r>
    </w:p>
    <w:p>
      <w:pPr>
        <w:pStyle w:val="EncadreDanger"/>
        <w:rPr/>
      </w:pPr>
      <w:r>
        <w:rPr>
          <w:b/>
          <w:bCs/>
        </w:rPr>
        <w:t>Ajouter une route d’API</w:t>
      </w:r>
    </w:p>
    <w:p>
      <w:pPr>
        <w:pStyle w:val="EncadreDanger"/>
        <w:rPr/>
      </w:pPr>
      <w:r>
        <w:rPr/>
        <w:t xml:space="preserve">Ajoutez sa règle dans </w:t>
      </w:r>
      <w:r>
        <w:rPr>
          <w:rStyle w:val="VerbatimChar"/>
        </w:rPr>
        <w:t>REGLES</w:t>
      </w:r>
      <w:r>
        <w:rPr/>
        <w:t xml:space="preserve"> (sinon elle est réservée aux administrateurs) et un cas dans </w:t>
      </w:r>
      <w:r>
        <w:rPr>
          <w:rStyle w:val="VerbatimChar"/>
        </w:rPr>
        <w:t>tests/test_flux_droits_personnel.py</w:t>
      </w:r>
      <w:r>
        <w:rPr/>
        <w:t>.</w:t>
      </w:r>
    </w:p>
    <w:p>
      <w:pPr>
        <w:pStyle w:val="Normal"/>
        <w:spacing w:before="0" w:after="60"/>
        <w:rPr>
          <w:sz w:val="8"/>
        </w:rPr>
      </w:pPr>
      <w:r>
        <w:rPr>
          <w:sz w:val="8"/>
        </w:rPr>
      </w:r>
    </w:p>
    <w:p>
      <w:pPr>
        <w:pStyle w:val="BodyText"/>
        <w:rPr/>
      </w:pPr>
      <w:r>
        <w:rPr/>
        <w:t>Les contrôles plus fins restent dans les vues (</w:t>
      </w:r>
      <w:r>
        <w:rPr>
          <w:rStyle w:val="VerbatimChar"/>
        </w:rPr>
        <w:t>users/permissions.py</w:t>
      </w:r>
      <w:r>
        <w:rPr/>
        <w:t>)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5049"/>
        <w:gridCol w:w="4588"/>
      </w:tblGrid>
      <w:tr>
        <w:trPr>
          <w:tblHeader w:val="true"/>
          <w:cantSplit w:val="true"/>
        </w:trPr>
        <w:tc>
          <w:tcPr>
            <w:tcW w:w="5049"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Fonction / classe</w:t>
            </w:r>
          </w:p>
        </w:tc>
        <w:tc>
          <w:tcPr>
            <w:tcW w:w="458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Usage</w:t>
            </w:r>
          </w:p>
        </w:tc>
      </w:tr>
      <w:tr>
        <w:trPr>
          <w:cantSplit w:val="true"/>
        </w:trPr>
        <w:tc>
          <w:tcPr>
            <w:tcW w:w="50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is_admin_user(user)</w:t>
            </w:r>
          </w:p>
        </w:tc>
        <w:tc>
          <w:tcPr>
            <w:tcW w:w="458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is_superuser</w:t>
            </w:r>
            <w:r>
              <w:rPr>
                <w:rFonts w:eastAsia="Calibri" w:cs="Calibri"/>
                <w:kern w:val="0"/>
                <w:sz w:val="19"/>
                <w:szCs w:val="19"/>
                <w:lang w:val="fr-FR" w:eastAsia="en-US" w:bidi="ar-SA"/>
              </w:rPr>
              <w:t xml:space="preserve"> ou </w:t>
            </w:r>
            <w:r>
              <w:rPr>
                <w:rStyle w:val="VerbatimChar"/>
                <w:rFonts w:eastAsia="Calibri" w:cs="Calibri"/>
                <w:kern w:val="0"/>
                <w:lang w:val="fr-FR" w:eastAsia="en-US" w:bidi="ar-SA"/>
              </w:rPr>
              <w:t>role in ADMIN_ROLE_CODES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admin</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superadmin</w:t>
            </w:r>
            <w:r>
              <w:rPr>
                <w:rFonts w:eastAsia="Calibri" w:cs="Calibri"/>
                <w:kern w:val="0"/>
                <w:sz w:val="19"/>
                <w:szCs w:val="19"/>
                <w:lang w:val="fr-FR" w:eastAsia="en-US" w:bidi="ar-SA"/>
              </w:rPr>
              <w:t>)</w:t>
            </w:r>
          </w:p>
        </w:tc>
      </w:tr>
      <w:tr>
        <w:trPr>
          <w:cantSplit w:val="true"/>
        </w:trPr>
        <w:tc>
          <w:tcPr>
            <w:tcW w:w="50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get_role_access_level(user, "can_manage_finance")</w:t>
            </w:r>
          </w:p>
        </w:tc>
        <w:tc>
          <w:tcPr>
            <w:tcW w:w="458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none</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lecture</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ecriture</w:t>
            </w:r>
          </w:p>
        </w:tc>
      </w:tr>
      <w:tr>
        <w:trPr>
          <w:cantSplit w:val="true"/>
        </w:trPr>
        <w:tc>
          <w:tcPr>
            <w:tcW w:w="50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user_has_read_access</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user_has_write_access</w:t>
            </w:r>
          </w:p>
        </w:tc>
        <w:tc>
          <w:tcPr>
            <w:tcW w:w="458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contrôles dans les vues (validation des notes, etc.)</w:t>
            </w:r>
          </w:p>
        </w:tc>
      </w:tr>
      <w:tr>
        <w:trPr>
          <w:cantSplit w:val="true"/>
        </w:trPr>
        <w:tc>
          <w:tcPr>
            <w:tcW w:w="50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UserAccountPermission</w:t>
            </w:r>
          </w:p>
        </w:tc>
        <w:tc>
          <w:tcPr>
            <w:tcW w:w="458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/api/auth/</w:t>
            </w:r>
            <w:r>
              <w:rPr>
                <w:rFonts w:eastAsia="Calibri" w:cs="Calibri"/>
                <w:kern w:val="0"/>
                <w:sz w:val="19"/>
                <w:szCs w:val="19"/>
                <w:lang w:val="fr-FR" w:eastAsia="en-US" w:bidi="ar-SA"/>
              </w:rPr>
              <w:t xml:space="preserve"> : admin uniquement (sauf sa propre fiche)</w:t>
            </w:r>
          </w:p>
        </w:tc>
      </w:tr>
      <w:tr>
        <w:trPr>
          <w:cantSplit w:val="true"/>
        </w:trPr>
        <w:tc>
          <w:tcPr>
            <w:tcW w:w="5049"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RolePermission</w:t>
            </w:r>
          </w:p>
        </w:tc>
        <w:tc>
          <w:tcPr>
            <w:tcW w:w="458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rôles : lecture pour tous, écriture admin</w:t>
            </w:r>
          </w:p>
        </w:tc>
      </w:tr>
    </w:tbl>
    <w:p>
      <w:pPr>
        <w:pStyle w:val="BodyText"/>
        <w:rPr/>
      </w:pPr>
      <w:r>
        <w:rPr/>
        <w:t xml:space="preserve">Un compte dont le code de rôle ne correspond à </w:t>
      </w:r>
      <w:r>
        <w:rPr>
          <w:b/>
          <w:bCs/>
        </w:rPr>
        <w:t>aucun</w:t>
      </w:r>
      <w:r>
        <w:rPr/>
        <w:t xml:space="preserve"> </w:t>
      </w:r>
      <w:r>
        <w:rPr>
          <w:rStyle w:val="VerbatimChar"/>
        </w:rPr>
        <w:t>Role</w:t>
      </w:r>
      <w:r>
        <w:rPr/>
        <w:t xml:space="preserve"> n’a aucun droit (référentiels seulement). La migration </w:t>
      </w:r>
      <w:r>
        <w:rPr>
          <w:rStyle w:val="VerbatimChar"/>
        </w:rPr>
        <w:t>users/0003_roles_pour_codes_existants</w:t>
      </w:r>
      <w:r>
        <w:rPr/>
        <w:t xml:space="preserve"> crée les rôles manquants lors de la mise à jour, et </w:t>
      </w:r>
      <w:r>
        <w:rPr>
          <w:rStyle w:val="VerbatimChar"/>
        </w:rPr>
        <w:t>python manage.py audit_droits</w:t>
      </w:r>
      <w:r>
        <w:rPr/>
        <w:t xml:space="preserve"> affiche les droits effectifs de chaque compte.</w:t>
      </w:r>
    </w:p>
    <w:p>
      <w:pPr>
        <w:pStyle w:val="BodyText"/>
        <w:rPr/>
      </w:pPr>
      <w:r>
        <w:rPr/>
        <w:t xml:space="preserve">Interrupteur d’urgence : </w:t>
      </w:r>
      <w:r>
        <w:rPr>
          <w:rStyle w:val="VerbatimChar"/>
        </w:rPr>
        <w:t>CONTROLE_DROITS_PERSONNEL=False</w:t>
      </w:r>
      <w:r>
        <w:rPr/>
        <w:t xml:space="preserve"> dans </w:t>
      </w:r>
      <w:r>
        <w:rPr>
          <w:rStyle w:val="VerbatimChar"/>
        </w:rPr>
        <w:t>.env</w:t>
      </w:r>
      <w:r>
        <w:rPr/>
        <w:t xml:space="preserve"> désactive la matrice (à n’utiliser que le temps de corriger un rôle).</w:t>
      </w:r>
      <w:bookmarkEnd w:id="446"/>
    </w:p>
    <w:p>
      <w:pPr>
        <w:pStyle w:val="Heading3"/>
        <w:rPr/>
      </w:pPr>
      <w:bookmarkStart w:id="447" w:name="années-archivées"/>
      <w:r>
        <w:rPr/>
        <w:t>3. Années archivées</w:t>
      </w:r>
    </w:p>
    <w:p>
      <w:pPr>
        <w:pStyle w:val="FirstParagraph"/>
        <w:rPr/>
      </w:pPr>
      <w:r>
        <w:rPr>
          <w:rStyle w:val="VerbatimChar"/>
        </w:rPr>
        <w:t>academique.middleware.ArchiveAcademicYearMiddleware</w:t>
      </w:r>
      <w:r>
        <w:rPr/>
        <w:t xml:space="preserve"> : si l’en-tête </w:t>
      </w:r>
      <w:r>
        <w:rPr>
          <w:rStyle w:val="VerbatimChar"/>
        </w:rPr>
        <w:t>X-Academic-Year</w:t>
      </w:r>
      <w:r>
        <w:rPr/>
        <w:t xml:space="preserve"> désigne une année non active, seuls les superusers passent. Exemptés : </w:t>
      </w:r>
      <w:r>
        <w:rPr>
          <w:rStyle w:val="VerbatimChar"/>
        </w:rPr>
        <w:t>/api/auth/</w:t>
      </w:r>
      <w:r>
        <w:rPr/>
        <w:t xml:space="preserve">, </w:t>
      </w:r>
      <w:r>
        <w:rPr>
          <w:rStyle w:val="VerbatimChar"/>
        </w:rPr>
        <w:t>/api/v2/annees-academiques/</w:t>
      </w:r>
      <w:r>
        <w:rPr/>
        <w:t xml:space="preserve">, </w:t>
      </w:r>
      <w:r>
        <w:rPr>
          <w:rStyle w:val="VerbatimChar"/>
        </w:rPr>
        <w:t>/api/v2/configuration-etablissement/</w:t>
      </w:r>
      <w:r>
        <w:rPr/>
        <w:t xml:space="preserve">, </w:t>
      </w:r>
      <w:r>
        <w:rPr>
          <w:rStyle w:val="VerbatimChar"/>
        </w:rPr>
        <w:t>/admin/</w:t>
      </w:r>
      <w:r>
        <w:rPr/>
        <w:t>.</w:t>
      </w:r>
      <w:bookmarkEnd w:id="447"/>
    </w:p>
    <w:p>
      <w:pPr>
        <w:pStyle w:val="Heading3"/>
        <w:rPr/>
      </w:pPr>
      <w:bookmarkStart w:id="448" w:name="matrice-de-contrôle-testée"/>
      <w:r>
        <w:rPr/>
        <w:t>Matrice de contrôle (testée)</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440"/>
        <w:gridCol w:w="3618"/>
        <w:gridCol w:w="1706"/>
        <w:gridCol w:w="1873"/>
      </w:tblGrid>
      <w:tr>
        <w:trPr>
          <w:tblHeader w:val="true"/>
          <w:cantSplit w:val="true"/>
        </w:trPr>
        <w:tc>
          <w:tcPr>
            <w:tcW w:w="244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Qui</w:t>
            </w:r>
          </w:p>
        </w:tc>
        <w:tc>
          <w:tcPr>
            <w:tcW w:w="361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Admin (</w:t>
            </w:r>
            <w:r>
              <w:rPr>
                <w:rStyle w:val="VerbatimChar"/>
                <w:rFonts w:eastAsia="Calibri" w:cs="Calibri"/>
                <w:b/>
                <w:color w:val="FFFFFF"/>
                <w:kern w:val="0"/>
                <w:lang w:val="fr-FR" w:eastAsia="en-US" w:bidi="ar-SA"/>
              </w:rPr>
              <w:t>/api/etudiants/</w:t>
            </w:r>
            <w:r>
              <w:rPr>
                <w:rFonts w:eastAsia="Calibri" w:cs="Calibri"/>
                <w:b/>
                <w:color w:val="FFFFFF"/>
                <w:kern w:val="0"/>
                <w:sz w:val="19"/>
                <w:szCs w:val="19"/>
                <w:lang w:val="fr-FR" w:eastAsia="en-US" w:bidi="ar-SA"/>
              </w:rPr>
              <w:t xml:space="preserve">, </w:t>
            </w:r>
            <w:r>
              <w:rPr>
                <w:rStyle w:val="VerbatimChar"/>
                <w:rFonts w:eastAsia="Calibri" w:cs="Calibri"/>
                <w:b/>
                <w:color w:val="FFFFFF"/>
                <w:kern w:val="0"/>
                <w:lang w:val="fr-FR" w:eastAsia="en-US" w:bidi="ar-SA"/>
              </w:rPr>
              <w:t>/api/paie/…</w:t>
            </w:r>
            <w:r>
              <w:rPr>
                <w:rFonts w:eastAsia="Calibri" w:cs="Calibri"/>
                <w:b/>
                <w:color w:val="FFFFFF"/>
                <w:kern w:val="0"/>
                <w:sz w:val="19"/>
                <w:szCs w:val="19"/>
                <w:lang w:val="fr-FR" w:eastAsia="en-US" w:bidi="ar-SA"/>
              </w:rPr>
              <w:t>, …)</w:t>
            </w:r>
          </w:p>
        </w:tc>
        <w:tc>
          <w:tcPr>
            <w:tcW w:w="1706"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Portail étudiant</w:t>
            </w:r>
          </w:p>
        </w:tc>
        <w:tc>
          <w:tcPr>
            <w:tcW w:w="187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Portail formateur</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w:t>
            </w:r>
          </w:p>
        </w:tc>
        <w:tc>
          <w:tcPr>
            <w:tcW w:w="3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403</w:t>
            </w:r>
          </w:p>
        </w:tc>
        <w:tc>
          <w:tcPr>
            <w:tcW w:w="17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200 (ses données)</w:t>
            </w:r>
          </w:p>
        </w:tc>
        <w:tc>
          <w:tcPr>
            <w:tcW w:w="187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403</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Formateur</w:t>
            </w:r>
          </w:p>
        </w:tc>
        <w:tc>
          <w:tcPr>
            <w:tcW w:w="3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403</w:t>
            </w:r>
          </w:p>
        </w:tc>
        <w:tc>
          <w:tcPr>
            <w:tcW w:w="17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403</w:t>
            </w:r>
          </w:p>
        </w:tc>
        <w:tc>
          <w:tcPr>
            <w:tcW w:w="187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200 (ses données)</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Personnel sans droit sur le domaine</w:t>
            </w:r>
          </w:p>
        </w:tc>
        <w:tc>
          <w:tcPr>
            <w:tcW w:w="3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403</w:t>
            </w:r>
          </w:p>
        </w:tc>
        <w:tc>
          <w:tcPr>
            <w:tcW w:w="17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c>
          <w:tcPr>
            <w:tcW w:w="187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Personnel avec droit Lecture</w:t>
            </w:r>
          </w:p>
        </w:tc>
        <w:tc>
          <w:tcPr>
            <w:tcW w:w="3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200 en lecture, 403 en écriture</w:t>
            </w:r>
          </w:p>
        </w:tc>
        <w:tc>
          <w:tcPr>
            <w:tcW w:w="17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c>
          <w:tcPr>
            <w:tcW w:w="187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r>
      <w:tr>
        <w:trPr>
          <w:cantSplit w:val="true"/>
        </w:trPr>
        <w:tc>
          <w:tcPr>
            <w:tcW w:w="24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Admin</w:t>
            </w:r>
          </w:p>
        </w:tc>
        <w:tc>
          <w:tcPr>
            <w:tcW w:w="36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200</w:t>
            </w:r>
          </w:p>
        </w:tc>
        <w:tc>
          <w:tcPr>
            <w:tcW w:w="1706"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c>
          <w:tcPr>
            <w:tcW w:w="187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w:t>
            </w:r>
          </w:p>
        </w:tc>
      </w:tr>
    </w:tbl>
    <w:p>
      <w:pPr>
        <w:pStyle w:val="BodyText"/>
        <w:rPr/>
      </w:pPr>
      <w:r>
        <w:rPr/>
        <w:t xml:space="preserve">Tout est vérifié par </w:t>
      </w:r>
      <w:r>
        <w:rPr>
          <w:rStyle w:val="VerbatimChar"/>
        </w:rPr>
        <w:t>tests/test_flux_portails.py</w:t>
      </w:r>
      <w:r>
        <w:rPr/>
        <w:t xml:space="preserve">, </w:t>
      </w:r>
      <w:r>
        <w:rPr>
          <w:rStyle w:val="VerbatimChar"/>
        </w:rPr>
        <w:t>tests/test_flux_droits_personnel.py</w:t>
      </w:r>
      <w:r>
        <w:rPr/>
        <w:t xml:space="preserve"> et </w:t>
      </w:r>
      <w:r>
        <w:rPr>
          <w:rStyle w:val="VerbatimChar"/>
        </w:rPr>
        <w:t>tests/test_flux_authentification.py</w:t>
      </w:r>
      <w:r>
        <w:rPr/>
        <w:t>.</w:t>
      </w:r>
      <w:bookmarkEnd w:id="448"/>
    </w:p>
    <w:p>
      <w:pPr>
        <w:pStyle w:val="Heading2"/>
        <w:rPr/>
      </w:pPr>
      <w:bookmarkStart w:id="449" w:name="__RefHeading___Toc15224_1458957718"/>
      <w:bookmarkStart w:id="450" w:name="tests-automatisés"/>
      <w:bookmarkEnd w:id="449"/>
      <w:r>
        <w:rPr/>
        <w:t>Tests automatisés</w:t>
      </w:r>
    </w:p>
    <w:p>
      <w:pPr>
        <w:pStyle w:val="Heading3"/>
        <w:rPr/>
      </w:pPr>
      <w:bookmarkStart w:id="451" w:name="lancer-les-tests"/>
      <w:r>
        <w:rPr/>
        <w:t>Lancer les tests</w:t>
      </w:r>
    </w:p>
    <w:p>
      <w:pPr>
        <w:pStyle w:val="SourceCode"/>
        <w:rPr/>
      </w:pPr>
      <w:r>
        <w:rPr>
          <w:rStyle w:val="BuiltInTok"/>
        </w:rPr>
        <w:t>cd</w:t>
      </w:r>
      <w:r>
        <w:rPr>
          <w:rStyle w:val="NormalTok"/>
        </w:rPr>
        <w:t xml:space="preserve"> back-istc</w:t>
      </w:r>
      <w:r>
        <w:rPr/>
        <w:br/>
      </w:r>
      <w:r>
        <w:rPr>
          <w:rStyle w:val="BuiltInTok"/>
        </w:rPr>
        <w:t>source</w:t>
      </w:r>
      <w:r>
        <w:rPr>
          <w:rStyle w:val="NormalTok"/>
        </w:rPr>
        <w:t xml:space="preserve"> venv/bin/activate</w:t>
      </w:r>
      <w:r>
        <w:rPr/>
        <w:br/>
      </w:r>
      <w:r>
        <w:rPr>
          <w:rStyle w:val="ExtensionTok"/>
        </w:rPr>
        <w:t>python</w:t>
      </w:r>
      <w:r>
        <w:rPr>
          <w:rStyle w:val="NormalTok"/>
        </w:rPr>
        <w:t xml:space="preserve"> </w:t>
      </w:r>
      <w:r>
        <w:rPr>
          <w:rStyle w:val="AttributeTok"/>
        </w:rPr>
        <w:t>-m</w:t>
      </w:r>
      <w:r>
        <w:rPr>
          <w:rStyle w:val="NormalTok"/>
        </w:rPr>
        <w:t xml:space="preserve"> pytest </w:t>
      </w:r>
      <w:r>
        <w:rPr>
          <w:rStyle w:val="AttributeTok"/>
        </w:rPr>
        <w:t>-q</w:t>
      </w:r>
      <w:r>
        <w:rPr>
          <w:rStyle w:val="NormalTok"/>
        </w:rPr>
        <w:t xml:space="preserve">                         </w:t>
      </w:r>
      <w:r>
        <w:rPr>
          <w:rStyle w:val="CommentTok"/>
        </w:rPr>
        <w:t># toute la suite (≈ 2 min)</w:t>
      </w:r>
      <w:r>
        <w:rPr/>
        <w:br/>
      </w:r>
      <w:r>
        <w:rPr>
          <w:rStyle w:val="ExtensionTok"/>
        </w:rPr>
        <w:t>python</w:t>
      </w:r>
      <w:r>
        <w:rPr>
          <w:rStyle w:val="NormalTok"/>
        </w:rPr>
        <w:t xml:space="preserve"> </w:t>
      </w:r>
      <w:r>
        <w:rPr>
          <w:rStyle w:val="AttributeTok"/>
        </w:rPr>
        <w:t>-m</w:t>
      </w:r>
      <w:r>
        <w:rPr>
          <w:rStyle w:val="NormalTok"/>
        </w:rPr>
        <w:t xml:space="preserve"> pytest tests/ </w:t>
      </w:r>
      <w:r>
        <w:rPr>
          <w:rStyle w:val="AttributeTok"/>
        </w:rPr>
        <w:t>-q</w:t>
      </w:r>
      <w:r>
        <w:rPr>
          <w:rStyle w:val="NormalTok"/>
        </w:rPr>
        <w:t xml:space="preserve">                  </w:t>
      </w:r>
      <w:r>
        <w:rPr>
          <w:rStyle w:val="CommentTok"/>
        </w:rPr>
        <w:t># uniquement les tests de flux</w:t>
      </w:r>
      <w:r>
        <w:rPr/>
        <w:br/>
      </w:r>
      <w:r>
        <w:rPr>
          <w:rStyle w:val="ExtensionTok"/>
        </w:rPr>
        <w:t>python</w:t>
      </w:r>
      <w:r>
        <w:rPr>
          <w:rStyle w:val="NormalTok"/>
        </w:rPr>
        <w:t xml:space="preserve"> </w:t>
      </w:r>
      <w:r>
        <w:rPr>
          <w:rStyle w:val="AttributeTok"/>
        </w:rPr>
        <w:t>-m</w:t>
      </w:r>
      <w:r>
        <w:rPr>
          <w:rStyle w:val="NormalTok"/>
        </w:rPr>
        <w:t xml:space="preserve"> pytest tests/test_flux_notes.py   </w:t>
      </w:r>
      <w:r>
        <w:rPr>
          <w:rStyle w:val="CommentTok"/>
        </w:rPr>
        <w:t># un fichier</w:t>
      </w:r>
      <w:r>
        <w:rPr/>
        <w:br/>
      </w:r>
      <w:r>
        <w:rPr>
          <w:rStyle w:val="ExtensionTok"/>
        </w:rPr>
        <w:t>python</w:t>
      </w:r>
      <w:r>
        <w:rPr>
          <w:rStyle w:val="NormalTok"/>
        </w:rPr>
        <w:t xml:space="preserve"> </w:t>
      </w:r>
      <w:r>
        <w:rPr>
          <w:rStyle w:val="AttributeTok"/>
        </w:rPr>
        <w:t>-m</w:t>
      </w:r>
      <w:r>
        <w:rPr>
          <w:rStyle w:val="NormalTok"/>
        </w:rPr>
        <w:t xml:space="preserve"> pytest </w:t>
      </w:r>
      <w:r>
        <w:rPr>
          <w:rStyle w:val="AttributeTok"/>
        </w:rPr>
        <w:t>-k</w:t>
      </w:r>
      <w:r>
        <w:rPr>
          <w:rStyle w:val="NormalTok"/>
        </w:rPr>
        <w:t xml:space="preserve"> rattrapage              </w:t>
      </w:r>
      <w:r>
        <w:rPr>
          <w:rStyle w:val="CommentTok"/>
        </w:rPr>
        <w:t># par mot-clé</w:t>
      </w:r>
      <w:r>
        <w:rPr/>
        <w:br/>
      </w:r>
      <w:r>
        <w:rPr>
          <w:rStyle w:val="ExtensionTok"/>
        </w:rPr>
        <w:t>python</w:t>
      </w:r>
      <w:r>
        <w:rPr>
          <w:rStyle w:val="NormalTok"/>
        </w:rPr>
        <w:t xml:space="preserve"> </w:t>
      </w:r>
      <w:r>
        <w:rPr>
          <w:rStyle w:val="AttributeTok"/>
        </w:rPr>
        <w:t>-m</w:t>
      </w:r>
      <w:r>
        <w:rPr>
          <w:rStyle w:val="NormalTok"/>
        </w:rPr>
        <w:t xml:space="preserve"> pytest </w:t>
      </w:r>
      <w:r>
        <w:rPr>
          <w:rStyle w:val="AttributeTok"/>
        </w:rPr>
        <w:t>-x</w:t>
      </w:r>
      <w:r>
        <w:rPr>
          <w:rStyle w:val="NormalTok"/>
        </w:rPr>
        <w:t xml:space="preserve"> </w:t>
      </w:r>
      <w:r>
        <w:rPr>
          <w:rStyle w:val="AttributeTok"/>
        </w:rPr>
        <w:t>--lf</w:t>
      </w:r>
      <w:r>
        <w:rPr>
          <w:rStyle w:val="NormalTok"/>
        </w:rPr>
        <w:t xml:space="preserve">                    </w:t>
      </w:r>
      <w:r>
        <w:rPr>
          <w:rStyle w:val="CommentTok"/>
        </w:rPr>
        <w:t># s'arrêter au 1er échec / relancer les échecs</w:t>
      </w:r>
    </w:p>
    <w:p>
      <w:pPr>
        <w:pStyle w:val="FirstParagraph"/>
        <w:rPr/>
      </w:pPr>
      <w:r>
        <w:rPr/>
        <w:t xml:space="preserve">La configuration est dans </w:t>
      </w:r>
      <w:r>
        <w:rPr>
          <w:rStyle w:val="VerbatimChar"/>
        </w:rPr>
        <w:t>back-istc/pytest.ini</w:t>
      </w:r>
      <w:r>
        <w:rPr/>
        <w:t xml:space="preserve"> (</w:t>
      </w:r>
      <w:r>
        <w:rPr>
          <w:rStyle w:val="VerbatimChar"/>
        </w:rPr>
        <w:t>DJANGO_SETTINGS_MODULE=smart_back.settings</w:t>
      </w:r>
      <w:r>
        <w:rPr/>
        <w:t xml:space="preserve">). Les tests utilisent une base </w:t>
      </w:r>
      <w:r>
        <w:rPr>
          <w:b/>
          <w:bCs/>
        </w:rPr>
        <w:t>SQLite temporaire</w:t>
      </w:r>
      <w:r>
        <w:rPr/>
        <w:t xml:space="preserve"> créée et détruite automatiquement : laissez </w:t>
      </w:r>
      <w:r>
        <w:rPr>
          <w:rStyle w:val="VerbatimChar"/>
        </w:rPr>
        <w:t>DATABASE_URL</w:t>
      </w:r>
      <w:r>
        <w:rPr/>
        <w:t xml:space="preserve"> vide (</w:t>
      </w:r>
      <w:r>
        <w:rPr>
          <w:rStyle w:val="VerbatimChar"/>
        </w:rPr>
        <w:t>DATABASE_URL= python -m pytest</w:t>
      </w:r>
      <w:r>
        <w:rPr/>
        <w:t>) pour ne jamais toucher la base de production.</w:t>
      </w:r>
    </w:p>
    <w:p>
      <w:pPr>
        <w:pStyle w:val="BodyText"/>
        <w:rPr/>
      </w:pPr>
      <w:r>
        <w:rPr/>
        <w:t>La CI (</w:t>
      </w:r>
      <w:r>
        <w:rPr>
          <w:rStyle w:val="VerbatimChar"/>
        </w:rPr>
        <w:t>.github/workflows/ci.yml</w:t>
      </w:r>
      <w:r>
        <w:rPr/>
        <w:t>) lance la suite backend et le lint frontend à chaque push et pull request.</w:t>
      </w:r>
      <w:bookmarkEnd w:id="451"/>
    </w:p>
    <w:p>
      <w:pPr>
        <w:pStyle w:val="Heading3"/>
        <w:rPr/>
      </w:pPr>
      <w:r>
        <w:rPr/>
        <w:t>Organisation</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383"/>
        <w:gridCol w:w="2237"/>
        <w:gridCol w:w="4018"/>
      </w:tblGrid>
      <w:tr>
        <w:trPr>
          <w:tblHeader w:val="true"/>
          <w:cantSplit w:val="true"/>
        </w:trPr>
        <w:tc>
          <w:tcPr>
            <w:tcW w:w="338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Emplacement</w:t>
            </w:r>
          </w:p>
        </w:tc>
        <w:tc>
          <w:tcPr>
            <w:tcW w:w="223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Type</w:t>
            </w:r>
          </w:p>
        </w:tc>
        <w:tc>
          <w:tcPr>
            <w:tcW w:w="4018"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Contenu</w:t>
            </w:r>
          </w:p>
        </w:tc>
      </w:tr>
      <w:tr>
        <w:trPr>
          <w:cantSplit w:val="true"/>
        </w:trPr>
        <w:tc>
          <w:tcPr>
            <w:tcW w:w="338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back-istc/tests/test_flux_*.py</w:t>
            </w:r>
          </w:p>
        </w:tc>
        <w:tc>
          <w:tcPr>
            <w:tcW w:w="2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b/>
                <w:bCs/>
                <w:kern w:val="0"/>
                <w:sz w:val="19"/>
                <w:szCs w:val="19"/>
                <w:lang w:val="fr-FR" w:eastAsia="en-US" w:bidi="ar-SA"/>
              </w:rPr>
              <w:t>Tests de flux</w:t>
            </w:r>
            <w:r>
              <w:rPr>
                <w:rFonts w:eastAsia="Calibri" w:cs="Calibri"/>
                <w:kern w:val="0"/>
                <w:sz w:val="19"/>
                <w:szCs w:val="19"/>
                <w:lang w:val="fr-FR" w:eastAsia="en-US" w:bidi="ar-SA"/>
              </w:rPr>
              <w:t xml:space="preserve"> (API de bout en bout)</w:t>
            </w:r>
          </w:p>
        </w:tc>
        <w:tc>
          <w:tcPr>
            <w:tcW w:w="40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Les parcours utilisateurs critiques, écrits comme des scénarios</w:t>
            </w:r>
          </w:p>
        </w:tc>
      </w:tr>
      <w:tr>
        <w:trPr>
          <w:cantSplit w:val="true"/>
        </w:trPr>
        <w:tc>
          <w:tcPr>
            <w:tcW w:w="338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&lt;app&gt;/tests.py</w:t>
            </w:r>
          </w:p>
        </w:tc>
        <w:tc>
          <w:tcPr>
            <w:tcW w:w="2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Tests unitaires par app</w:t>
            </w:r>
          </w:p>
        </w:tc>
        <w:tc>
          <w:tcPr>
            <w:tcW w:w="40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Règles fines d’un modèle ou d’une vue</w:t>
            </w:r>
          </w:p>
        </w:tc>
      </w:tr>
      <w:tr>
        <w:trPr>
          <w:cantSplit w:val="true"/>
        </w:trPr>
        <w:tc>
          <w:tcPr>
            <w:tcW w:w="338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smart_back/test_audit.py</w:t>
            </w:r>
          </w:p>
        </w:tc>
        <w:tc>
          <w:tcPr>
            <w:tcW w:w="2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Non-régression</w:t>
            </w:r>
          </w:p>
        </w:tc>
        <w:tc>
          <w:tcPr>
            <w:tcW w:w="40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Bugs corrigés lors de l’audit</w:t>
            </w:r>
          </w:p>
        </w:tc>
      </w:tr>
      <w:tr>
        <w:trPr>
          <w:cantSplit w:val="true"/>
        </w:trPr>
        <w:tc>
          <w:tcPr>
            <w:tcW w:w="338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conftest.py</w:t>
            </w:r>
          </w:p>
        </w:tc>
        <w:tc>
          <w:tcPr>
            <w:tcW w:w="2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Fixtures communes</w:t>
            </w:r>
          </w:p>
        </w:tc>
        <w:tc>
          <w:tcPr>
            <w:tcW w:w="40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monde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client_admin</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client_anonyme</w:t>
            </w:r>
            <w:r>
              <w:rPr>
                <w:rFonts w:eastAsia="Calibri" w:cs="Calibri"/>
                <w:kern w:val="0"/>
                <w:sz w:val="19"/>
                <w:szCs w:val="19"/>
                <w:lang w:val="fr-FR" w:eastAsia="en-US" w:bidi="ar-SA"/>
              </w:rPr>
              <w:t xml:space="preserve"> ; MEDIA temporaire et reCAPTCHA désactivé automatiquement</w:t>
            </w:r>
          </w:p>
        </w:tc>
      </w:tr>
      <w:tr>
        <w:trPr>
          <w:cantSplit w:val="true"/>
        </w:trPr>
        <w:tc>
          <w:tcPr>
            <w:tcW w:w="338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smart_back/testing.py</w:t>
            </w:r>
          </w:p>
        </w:tc>
        <w:tc>
          <w:tcPr>
            <w:tcW w:w="2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Fabriques</w:t>
            </w:r>
          </w:p>
        </w:tc>
        <w:tc>
          <w:tcPr>
            <w:tcW w:w="4018"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Monde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creer_role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creer_utilisateur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client_api</w:t>
            </w:r>
          </w:p>
        </w:tc>
      </w:tr>
    </w:tbl>
    <w:p>
      <w:pPr>
        <w:pStyle w:val="Heading4"/>
        <w:rPr/>
      </w:pPr>
      <w:r>
        <w:rPr/>
        <w:t>Flux couverts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3042"/>
        <w:gridCol w:w="6595"/>
      </w:tblGrid>
      <w:tr>
        <w:trPr>
          <w:tblHeader w:val="true"/>
          <w:cantSplit w:val="true"/>
        </w:trPr>
        <w:tc>
          <w:tcPr>
            <w:tcW w:w="3042"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Fichier</w:t>
            </w:r>
          </w:p>
        </w:tc>
        <w:tc>
          <w:tcPr>
            <w:tcW w:w="6595"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Parcours</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test_flux_authentification.py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Connexion (bons / mauvais identifiants, compte inactif, formateur sans fiche), droits dans le JWT, jeton périmé, refresh, reCAPTCHA (mock de Google)</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test_flux_inscription.py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Formulaire public, documents, fichier dangereux, doublon, approbation (étudiant + compte + inscription + paiements), bourse à usage unique, réduction 10 %, rejet, inscription directe</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test_flux_notes.py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Saisie, batch-save, bornes CC/SN, lecture seule, visibilité après validation, relevé, rattrapages, changement de pourcentages, saisie par le formateur</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test_flux_paiements.py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Frais, paiements successifs et solde, suivi agrégé = portail (avec réduction), échéancier 4 tranches et imputation, alertes de retard, cloisonnement</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test_flux_paie_rh.py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Campagne complète (prime, CNPS, avance → net, valider, payer, dépense, avance remboursée, campagne payée non supprimable), vacataires, campagne unique / mois, prime ponctuelle, congés (solde, éligibilité, week-end)</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test_flux_droits_personnel.py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Matrice des droits du personnel : domaine refusé sans droit, lecture seule, écriture, lectures croisées, paramètres réservés, rôle inexistant, interrupteur d’urgence, migration des rôles, commande </w:t>
            </w:r>
            <w:r>
              <w:rPr>
                <w:rStyle w:val="VerbatimChar"/>
                <w:rFonts w:eastAsia="Calibri" w:cs="Calibri"/>
                <w:kern w:val="0"/>
                <w:lang w:val="fr-FR" w:eastAsia="en-US" w:bidi="ar-SA"/>
              </w:rPr>
              <w:t>audit_droits</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test_flux_portails.py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Chaque route des portails accessible ; toutes les routes d’administration refusées aux comptes portail ; personnel autorisé</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test_flux_emploi_du_temps_logistique.py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Créneaux (pause, journée, conflits, années), visibilité dans les portails, demandes (cycle complet, refus, stock insuffisant), références uniques, attribution / retour d’exemplaire</w:t>
            </w:r>
          </w:p>
        </w:tc>
      </w:tr>
      <w:tr>
        <w:trPr>
          <w:cantSplit w:val="true"/>
        </w:trPr>
        <w:tc>
          <w:tcPr>
            <w:tcW w:w="3042"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vacations/tests.py</w:t>
            </w:r>
          </w:p>
        </w:tc>
        <w:tc>
          <w:tcPr>
            <w:tcW w:w="6595"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Arrondi ¼ h, pointage, clôture, validation, rejet, intégration paie</w:t>
            </w:r>
            <w:bookmarkStart w:id="452" w:name="organisation"/>
            <w:bookmarkEnd w:id="452"/>
          </w:p>
        </w:tc>
      </w:tr>
    </w:tbl>
    <w:p>
      <w:pPr>
        <w:pStyle w:val="Heading3"/>
        <w:rPr/>
      </w:pPr>
      <w:r>
        <w:rPr/>
        <w:t>Écrire un test de flux</w:t>
      </w:r>
    </w:p>
    <w:p>
      <w:pPr>
        <w:pStyle w:val="FirstParagraph"/>
        <w:rPr/>
      </w:pPr>
      <w:r>
        <w:rPr/>
        <w:t xml:space="preserve">La fixture </w:t>
      </w:r>
      <w:r>
        <w:rPr>
          <w:rStyle w:val="VerbatimChar"/>
        </w:rPr>
        <w:t>monde</w:t>
      </w:r>
      <w:r>
        <w:rPr/>
        <w:t xml:space="preserve"> fournit un établissement prêt à l’emploi : année active </w:t>
      </w:r>
      <w:r>
        <w:rPr>
          <w:rStyle w:val="VerbatimChar"/>
        </w:rPr>
        <w:t>2026-2027</w:t>
      </w:r>
      <w:r>
        <w:rPr/>
        <w:t xml:space="preserve">, filière, cycle, niveau, </w:t>
      </w:r>
      <w:r>
        <w:rPr>
          <w:b/>
          <w:bCs/>
        </w:rPr>
        <w:t>classe</w:t>
      </w:r>
      <w:r>
        <w:rPr/>
        <w:t xml:space="preserve"> (créée par signal), module (coefficient 2), salle et un compte admin.</w:t>
      </w:r>
    </w:p>
    <w:p>
      <w:pPr>
        <w:pStyle w:val="SourceCode"/>
        <w:rPr/>
      </w:pPr>
      <w:r>
        <w:rPr>
          <w:rStyle w:val="ImportTok"/>
        </w:rPr>
        <w:t>import</w:t>
      </w:r>
      <w:r>
        <w:rPr>
          <w:rStyle w:val="NormalTok"/>
        </w:rPr>
        <w:t xml:space="preserve"> pytest</w:t>
      </w:r>
      <w:r>
        <w:rPr/>
        <w:br/>
      </w:r>
      <w:r>
        <w:rPr>
          <w:rStyle w:val="ImportTok"/>
        </w:rPr>
        <w:t>from</w:t>
      </w:r>
      <w:r>
        <w:rPr>
          <w:rStyle w:val="NormalTok"/>
        </w:rPr>
        <w:t xml:space="preserve"> smart_back.testing </w:t>
      </w:r>
      <w:r>
        <w:rPr>
          <w:rStyle w:val="ImportTok"/>
        </w:rPr>
        <w:t>import</w:t>
      </w:r>
      <w:r>
        <w:rPr>
          <w:rStyle w:val="NormalTok"/>
        </w:rPr>
        <w:t xml:space="preserve"> client_api, creer_role, creer_utilisateur</w:t>
      </w:r>
      <w:r>
        <w:rPr/>
        <w:br/>
        <w:br/>
      </w:r>
      <w:r>
        <w:rPr>
          <w:rStyle w:val="NormalTok"/>
        </w:rPr>
        <w:t xml:space="preserve">pytestmark </w:t>
      </w:r>
      <w:r>
        <w:rPr>
          <w:rStyle w:val="OperatorTok"/>
        </w:rPr>
        <w:t>=</w:t>
      </w:r>
      <w:r>
        <w:rPr>
          <w:rStyle w:val="NormalTok"/>
        </w:rPr>
        <w:t xml:space="preserve"> pytest.mark.django_db</w:t>
      </w:r>
      <w:r>
        <w:rPr/>
        <w:br/>
        <w:br/>
        <w:br/>
      </w:r>
      <w:r>
        <w:rPr>
          <w:rStyle w:val="KeywordTok"/>
        </w:rPr>
        <w:t>def</w:t>
      </w:r>
      <w:r>
        <w:rPr>
          <w:rStyle w:val="NormalTok"/>
        </w:rPr>
        <w:t xml:space="preserve"> test_un_secretaire_peut_lire_mais_pas_modifier_les_notes(monde):</w:t>
      </w:r>
      <w:r>
        <w:rPr/>
        <w:br/>
      </w:r>
      <w:r>
        <w:rPr>
          <w:rStyle w:val="NormalTok"/>
        </w:rPr>
        <w:t xml:space="preserve">    creer_role(</w:t>
      </w:r>
      <w:r>
        <w:rPr>
          <w:rStyle w:val="StringTok"/>
        </w:rPr>
        <w:t>"secretaire"</w:t>
      </w:r>
      <w:r>
        <w:rPr>
          <w:rStyle w:val="NormalTok"/>
        </w:rPr>
        <w:t>, pedagogie</w:t>
      </w:r>
      <w:r>
        <w:rPr>
          <w:rStyle w:val="OperatorTok"/>
        </w:rPr>
        <w:t>=</w:t>
      </w:r>
      <w:r>
        <w:rPr>
          <w:rStyle w:val="StringTok"/>
        </w:rPr>
        <w:t>"lecture"</w:t>
      </w:r>
      <w:r>
        <w:rPr>
          <w:rStyle w:val="NormalTok"/>
        </w:rPr>
        <w:t>)</w:t>
      </w:r>
      <w:r>
        <w:rPr/>
        <w:br/>
      </w:r>
      <w:r>
        <w:rPr>
          <w:rStyle w:val="NormalTok"/>
        </w:rPr>
        <w:t xml:space="preserve">    secretaire </w:t>
      </w:r>
      <w:r>
        <w:rPr>
          <w:rStyle w:val="OperatorTok"/>
        </w:rPr>
        <w:t>=</w:t>
      </w:r>
      <w:r>
        <w:rPr>
          <w:rStyle w:val="NormalTok"/>
        </w:rPr>
        <w:t xml:space="preserve"> creer_utilisateur(role</w:t>
      </w:r>
      <w:r>
        <w:rPr>
          <w:rStyle w:val="OperatorTok"/>
        </w:rPr>
        <w:t>=</w:t>
      </w:r>
      <w:r>
        <w:rPr>
          <w:rStyle w:val="StringTok"/>
        </w:rPr>
        <w:t>"secretaire"</w:t>
      </w:r>
      <w:r>
        <w:rPr>
          <w:rStyle w:val="NormalTok"/>
        </w:rPr>
        <w:t>)</w:t>
      </w:r>
      <w:r>
        <w:rPr/>
        <w:br/>
      </w:r>
      <w:r>
        <w:rPr>
          <w:rStyle w:val="NormalTok"/>
        </w:rPr>
        <w:t xml:space="preserve">    etudiant </w:t>
      </w:r>
      <w:r>
        <w:rPr>
          <w:rStyle w:val="OperatorTok"/>
        </w:rPr>
        <w:t>=</w:t>
      </w:r>
      <w:r>
        <w:rPr>
          <w:rStyle w:val="NormalTok"/>
        </w:rPr>
        <w:t xml:space="preserve"> monde.nouvel_etudiant()                 </w:t>
      </w:r>
      <w:r>
        <w:rPr>
          <w:rStyle w:val="CommentTok"/>
        </w:rPr>
        <w:t># inscrit dans monde.classe</w:t>
      </w:r>
      <w:r>
        <w:rPr/>
        <w:br/>
        <w:br/>
      </w:r>
      <w:r>
        <w:rPr>
          <w:rStyle w:val="NormalTok"/>
        </w:rPr>
        <w:t xml:space="preserve">    client </w:t>
      </w:r>
      <w:r>
        <w:rPr>
          <w:rStyle w:val="OperatorTok"/>
        </w:rPr>
        <w:t>=</w:t>
      </w:r>
      <w:r>
        <w:rPr>
          <w:rStyle w:val="NormalTok"/>
        </w:rPr>
        <w:t xml:space="preserve"> client_api(secretaire)                    </w:t>
      </w:r>
      <w:r>
        <w:rPr>
          <w:rStyle w:val="CommentTok"/>
        </w:rPr>
        <w:t># client authentifié par JWT réel</w:t>
      </w:r>
      <w:r>
        <w:rPr/>
        <w:br/>
      </w:r>
      <w:r>
        <w:rPr>
          <w:rStyle w:val="NormalTok"/>
        </w:rPr>
        <w:t xml:space="preserve">    </w:t>
      </w:r>
      <w:r>
        <w:rPr>
          <w:rStyle w:val="ControlFlowTok"/>
        </w:rPr>
        <w:t>assert</w:t>
      </w:r>
      <w:r>
        <w:rPr>
          <w:rStyle w:val="NormalTok"/>
        </w:rPr>
        <w:t xml:space="preserve"> client.get(</w:t>
      </w:r>
      <w:r>
        <w:rPr>
          <w:rStyle w:val="StringTok"/>
        </w:rPr>
        <w:t>"/api/notes/"</w:t>
      </w:r>
      <w:r>
        <w:rPr>
          <w:rStyle w:val="NormalTok"/>
        </w:rPr>
        <w:t xml:space="preserve">).status_code </w:t>
      </w:r>
      <w:r>
        <w:rPr>
          <w:rStyle w:val="OperatorTok"/>
        </w:rPr>
        <w:t>==</w:t>
      </w:r>
      <w:r>
        <w:rPr>
          <w:rStyle w:val="NormalTok"/>
        </w:rPr>
        <w:t xml:space="preserve"> </w:t>
      </w:r>
      <w:r>
        <w:rPr>
          <w:rStyle w:val="DecValTok"/>
        </w:rPr>
        <w:t>200</w:t>
      </w:r>
      <w:r>
        <w:rPr/>
        <w:br/>
      </w:r>
      <w:r>
        <w:rPr>
          <w:rStyle w:val="NormalTok"/>
        </w:rPr>
        <w:t xml:space="preserve">    res </w:t>
      </w:r>
      <w:r>
        <w:rPr>
          <w:rStyle w:val="OperatorTok"/>
        </w:rPr>
        <w:t>=</w:t>
      </w:r>
      <w:r>
        <w:rPr>
          <w:rStyle w:val="NormalTok"/>
        </w:rPr>
        <w:t xml:space="preserve"> client.post(</w:t>
      </w:r>
      <w:r>
        <w:rPr>
          <w:rStyle w:val="StringTok"/>
        </w:rPr>
        <w:t>"/api/notes/"</w:t>
      </w:r>
      <w:r>
        <w:rPr>
          <w:rStyle w:val="NormalTok"/>
        </w:rPr>
        <w:t>, {</w:t>
      </w:r>
      <w:r>
        <w:rPr>
          <w:rStyle w:val="StringTok"/>
        </w:rPr>
        <w:t>"etudiant"</w:t>
      </w:r>
      <w:r>
        <w:rPr>
          <w:rStyle w:val="NormalTok"/>
        </w:rPr>
        <w:t>: etudiant.</w:t>
      </w:r>
      <w:r>
        <w:rPr>
          <w:rStyle w:val="BuiltInTok"/>
        </w:rPr>
        <w:t>id</w:t>
      </w:r>
      <w:r>
        <w:rPr>
          <w:rStyle w:val="NormalTok"/>
        </w:rPr>
        <w:t xml:space="preserve">, </w:t>
      </w:r>
      <w:r>
        <w:rPr>
          <w:rStyle w:val="StringTok"/>
        </w:rPr>
        <w:t>"module"</w:t>
      </w:r>
      <w:r>
        <w:rPr>
          <w:rStyle w:val="NormalTok"/>
        </w:rPr>
        <w:t>: monde.module.</w:t>
      </w:r>
      <w:r>
        <w:rPr>
          <w:rStyle w:val="BuiltInTok"/>
        </w:rPr>
        <w:t>id</w:t>
      </w:r>
      <w:r>
        <w:rPr>
          <w:rStyle w:val="NormalTok"/>
        </w:rPr>
        <w:t>,</w:t>
      </w:r>
      <w:r>
        <w:rPr/>
        <w:br/>
      </w:r>
      <w:r>
        <w:rPr>
          <w:rStyle w:val="NormalTok"/>
        </w:rPr>
        <w:t xml:space="preserve">                                      </w:t>
      </w:r>
      <w:r>
        <w:rPr>
          <w:rStyle w:val="StringTok"/>
        </w:rPr>
        <w:t>"note_cc"</w:t>
      </w:r>
      <w:r>
        <w:rPr>
          <w:rStyle w:val="NormalTok"/>
        </w:rPr>
        <w:t xml:space="preserve">: </w:t>
      </w:r>
      <w:r>
        <w:rPr>
          <w:rStyle w:val="DecValTok"/>
        </w:rPr>
        <w:t>20</w:t>
      </w:r>
      <w:r>
        <w:rPr>
          <w:rStyle w:val="NormalTok"/>
        </w:rPr>
        <w:t xml:space="preserve">}, </w:t>
      </w:r>
      <w:r>
        <w:rPr>
          <w:rStyle w:val="BuiltInTok"/>
        </w:rPr>
        <w:t>format</w:t>
      </w:r>
      <w:r>
        <w:rPr>
          <w:rStyle w:val="OperatorTok"/>
        </w:rPr>
        <w:t>=</w:t>
      </w:r>
      <w:r>
        <w:rPr>
          <w:rStyle w:val="StringTok"/>
        </w:rPr>
        <w:t>"json"</w:t>
      </w:r>
      <w:r>
        <w:rPr>
          <w:rStyle w:val="NormalTok"/>
        </w:rPr>
        <w:t>)</w:t>
      </w:r>
      <w:r>
        <w:rPr/>
        <w:br/>
      </w:r>
      <w:r>
        <w:rPr>
          <w:rStyle w:val="NormalTok"/>
        </w:rPr>
        <w:t xml:space="preserve">    </w:t>
      </w:r>
      <w:r>
        <w:rPr>
          <w:rStyle w:val="ControlFlowTok"/>
        </w:rPr>
        <w:t>assert</w:t>
      </w:r>
      <w:r>
        <w:rPr>
          <w:rStyle w:val="NormalTok"/>
        </w:rPr>
        <w:t xml:space="preserve"> res.status_code </w:t>
      </w:r>
      <w:r>
        <w:rPr>
          <w:rStyle w:val="OperatorTok"/>
        </w:rPr>
        <w:t>==</w:t>
      </w:r>
      <w:r>
        <w:rPr>
          <w:rStyle w:val="NormalTok"/>
        </w:rPr>
        <w:t xml:space="preserve"> </w:t>
      </w:r>
      <w:r>
        <w:rPr>
          <w:rStyle w:val="DecValTok"/>
        </w:rPr>
        <w:t>403</w:t>
      </w:r>
    </w:p>
    <w:p>
      <w:pPr>
        <w:pStyle w:val="FirstParagraph"/>
        <w:rPr/>
      </w:pPr>
      <w:r>
        <w:rPr/>
        <w:t xml:space="preserve">Fabriques disponibles sur </w:t>
      </w:r>
      <w:r>
        <w:rPr>
          <w:rStyle w:val="VerbatimChar"/>
        </w:rPr>
        <w:t>monde</w:t>
      </w:r>
      <w:r>
        <w:rPr/>
        <w:t xml:space="preserve"> :</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6040"/>
        <w:gridCol w:w="3597"/>
      </w:tblGrid>
      <w:tr>
        <w:trPr>
          <w:tblHeader w:val="true"/>
          <w:cantSplit w:val="true"/>
        </w:trPr>
        <w:tc>
          <w:tcPr>
            <w:tcW w:w="604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Méthode</w:t>
            </w:r>
          </w:p>
        </w:tc>
        <w:tc>
          <w:tcPr>
            <w:tcW w:w="359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Crée</w:t>
            </w:r>
          </w:p>
        </w:tc>
      </w:tr>
      <w:tr>
        <w:trPr>
          <w:cantSplit w:val="true"/>
        </w:trPr>
        <w:tc>
          <w:tcPr>
            <w:tcW w:w="60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monde.nouvel_etudiant(inscrire=True, **champs)</w:t>
            </w:r>
          </w:p>
        </w:tc>
        <w:tc>
          <w:tcPr>
            <w:tcW w:w="359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Étudiant (+ compte portail, + inscription dans </w:t>
            </w:r>
            <w:r>
              <w:rPr>
                <w:rStyle w:val="VerbatimChar"/>
                <w:rFonts w:eastAsia="Calibri" w:cs="Calibri"/>
                <w:kern w:val="0"/>
                <w:lang w:val="fr-FR" w:eastAsia="en-US" w:bidi="ar-SA"/>
              </w:rPr>
              <w:t>monde.classe</w:t>
            </w:r>
            <w:r>
              <w:rPr>
                <w:rFonts w:eastAsia="Calibri" w:cs="Calibri"/>
                <w:kern w:val="0"/>
                <w:sz w:val="19"/>
                <w:szCs w:val="19"/>
                <w:lang w:val="fr-FR" w:eastAsia="en-US" w:bidi="ar-SA"/>
              </w:rPr>
              <w:t>)</w:t>
            </w:r>
          </w:p>
        </w:tc>
      </w:tr>
      <w:tr>
        <w:trPr>
          <w:cantSplit w:val="true"/>
        </w:trPr>
        <w:tc>
          <w:tcPr>
            <w:tcW w:w="60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monde.nouveau_formateur(vacataire=False, avec_compte=True, **champs)</w:t>
            </w:r>
          </w:p>
        </w:tc>
        <w:tc>
          <w:tcPr>
            <w:tcW w:w="359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 xml:space="preserve">Formateur (permanent ou vacataire, avec compte </w:t>
            </w:r>
            <w:r>
              <w:rPr>
                <w:rStyle w:val="VerbatimChar"/>
                <w:rFonts w:eastAsia="Calibri" w:cs="Calibri"/>
                <w:kern w:val="0"/>
                <w:lang w:val="fr-FR" w:eastAsia="en-US" w:bidi="ar-SA"/>
              </w:rPr>
              <w:t>formateur</w:t>
            </w:r>
            <w:r>
              <w:rPr>
                <w:rFonts w:eastAsia="Calibri" w:cs="Calibri"/>
                <w:kern w:val="0"/>
                <w:sz w:val="19"/>
                <w:szCs w:val="19"/>
                <w:lang w:val="fr-FR" w:eastAsia="en-US" w:bidi="ar-SA"/>
              </w:rPr>
              <w:t>)</w:t>
            </w:r>
          </w:p>
        </w:tc>
      </w:tr>
      <w:tr>
        <w:trPr>
          <w:cantSplit w:val="true"/>
        </w:trPr>
        <w:tc>
          <w:tcPr>
            <w:tcW w:w="60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monde.nouveau_personnel(**champs)</w:t>
            </w:r>
          </w:p>
        </w:tc>
        <w:tc>
          <w:tcPr>
            <w:tcW w:w="359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Membre du personnel</w:t>
            </w:r>
          </w:p>
        </w:tc>
      </w:tr>
      <w:tr>
        <w:trPr>
          <w:cantSplit w:val="true"/>
        </w:trPr>
        <w:tc>
          <w:tcPr>
            <w:tcW w:w="60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monde.nouvelle_seance(formateur, jour="Lundi", debut=time(8), fin=time(10))</w:t>
            </w:r>
          </w:p>
        </w:tc>
        <w:tc>
          <w:tcPr>
            <w:tcW w:w="359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Créneau d’emploi du temps</w:t>
            </w:r>
          </w:p>
        </w:tc>
      </w:tr>
      <w:tr>
        <w:trPr>
          <w:cantSplit w:val="true"/>
        </w:trPr>
        <w:tc>
          <w:tcPr>
            <w:tcW w:w="604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monde.client_pour(user)</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monde.client_admin()</w:t>
            </w:r>
          </w:p>
        </w:tc>
        <w:tc>
          <w:tcPr>
            <w:tcW w:w="359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Client API authentifié</w:t>
            </w:r>
          </w:p>
        </w:tc>
      </w:tr>
    </w:tbl>
    <w:p>
      <w:pPr>
        <w:pStyle w:val="BodyText"/>
        <w:rPr/>
      </w:pPr>
      <w:r>
        <w:rPr/>
        <w:t xml:space="preserve">Fonctions : </w:t>
      </w:r>
      <w:r>
        <w:rPr>
          <w:rStyle w:val="VerbatimChar"/>
        </w:rPr>
        <w:t>creer_role(code, etudiants=…, pedagogie=…, finance=…, logistique=…, rh=…)</w:t>
      </w:r>
      <w:r>
        <w:rPr/>
        <w:t xml:space="preserve">, </w:t>
      </w:r>
      <w:r>
        <w:rPr>
          <w:rStyle w:val="VerbatimChar"/>
        </w:rPr>
        <w:t>creer_utilisateur(role="admin", **champs)</w:t>
      </w:r>
      <w:r>
        <w:rPr/>
        <w:t xml:space="preserve">, </w:t>
      </w:r>
      <w:r>
        <w:rPr>
          <w:rStyle w:val="VerbatimChar"/>
        </w:rPr>
        <w:t>client_api(user=None, annee=None)</w:t>
      </w:r>
      <w:r>
        <w:rPr/>
        <w:t xml:space="preserve"> (</w:t>
      </w:r>
      <w:r>
        <w:rPr>
          <w:rStyle w:val="VerbatimChar"/>
        </w:rPr>
        <w:t>annee</w:t>
      </w:r>
      <w:r>
        <w:rPr/>
        <w:t xml:space="preserve"> ajoute l’en-tête </w:t>
      </w:r>
      <w:r>
        <w:rPr>
          <w:rStyle w:val="VerbatimChar"/>
        </w:rPr>
        <w:t>X-Academic-Year</w:t>
      </w:r>
      <w:r>
        <w:rPr/>
        <w:t>).</w:t>
      </w:r>
    </w:p>
    <w:p>
      <w:pPr>
        <w:pStyle w:val="Heading3"/>
        <w:rPr/>
      </w:pPr>
      <w:bookmarkStart w:id="453" w:name="bonnes-pratiques-1"/>
      <w:r>
        <w:rPr/>
        <w:t>Bonnes pratiques</w:t>
      </w:r>
    </w:p>
    <w:p>
      <w:pPr>
        <w:pStyle w:val="Compact"/>
        <w:numPr>
          <w:ilvl w:val="0"/>
          <w:numId w:val="506"/>
        </w:numPr>
        <w:rPr/>
      </w:pPr>
      <w:r>
        <w:rPr>
          <w:b/>
          <w:bCs/>
        </w:rPr>
        <w:t>Un test = un comportement</w:t>
      </w:r>
      <w:r>
        <w:rPr/>
        <w:t>, nommé en français (</w:t>
      </w:r>
      <w:r>
        <w:rPr>
          <w:rStyle w:val="VerbatimChar"/>
        </w:rPr>
        <w:t>test_une_bourse_ne_sert_qu_une_fois</w:t>
      </w:r>
      <w:r>
        <w:rPr/>
        <w:t>).</w:t>
      </w:r>
    </w:p>
    <w:p>
      <w:pPr>
        <w:pStyle w:val="Compact"/>
        <w:numPr>
          <w:ilvl w:val="0"/>
          <w:numId w:val="507"/>
        </w:numPr>
        <w:rPr/>
      </w:pPr>
      <w:r>
        <w:rPr/>
        <w:t xml:space="preserve">Testez via </w:t>
      </w:r>
      <w:r>
        <w:rPr>
          <w:b/>
          <w:bCs/>
        </w:rPr>
        <w:t>l’API</w:t>
      </w:r>
      <w:r>
        <w:rPr/>
        <w:t xml:space="preserve"> (comme le frontend), pas en appelant les fonctions internes, sauf pour une règle de calcul pure.</w:t>
      </w:r>
    </w:p>
    <w:p>
      <w:pPr>
        <w:pStyle w:val="Compact"/>
        <w:numPr>
          <w:ilvl w:val="0"/>
          <w:numId w:val="508"/>
        </w:numPr>
        <w:rPr/>
      </w:pPr>
      <w:r>
        <w:rPr/>
        <w:t xml:space="preserve">Vérifiez les </w:t>
      </w:r>
      <w:r>
        <w:rPr>
          <w:b/>
          <w:bCs/>
        </w:rPr>
        <w:t>effets</w:t>
      </w:r>
      <w:r>
        <w:rPr/>
        <w:t xml:space="preserve"> (base de données, statuts, soldes), pas seulement le code HTTP.</w:t>
      </w:r>
    </w:p>
    <w:p>
      <w:pPr>
        <w:pStyle w:val="Compact"/>
        <w:numPr>
          <w:ilvl w:val="0"/>
          <w:numId w:val="509"/>
        </w:numPr>
        <w:rPr/>
      </w:pPr>
      <w:r>
        <w:rPr/>
        <w:t>Tout bug corrigé reçoit un test qui échouait avant la correction.</w:t>
      </w:r>
    </w:p>
    <w:p>
      <w:pPr>
        <w:pStyle w:val="Compact"/>
        <w:numPr>
          <w:ilvl w:val="0"/>
          <w:numId w:val="510"/>
        </w:numPr>
        <w:rPr/>
      </w:pPr>
      <w:r>
        <w:rPr/>
        <w:t xml:space="preserve">Toute nouvelle route de portail est ajoutée à </w:t>
      </w:r>
      <w:r>
        <w:rPr>
          <w:rStyle w:val="VerbatimChar"/>
        </w:rPr>
        <w:t>ROUTES_ETUDIANT</w:t>
      </w:r>
      <w:r>
        <w:rPr/>
        <w:t xml:space="preserve"> / </w:t>
      </w:r>
      <w:r>
        <w:rPr>
          <w:rStyle w:val="VerbatimChar"/>
        </w:rPr>
        <w:t>ROUTES_FORMATEUR</w:t>
      </w:r>
      <w:r>
        <w:rPr/>
        <w:t xml:space="preserve"> ; toute nouvelle route d’administration à </w:t>
      </w:r>
      <w:r>
        <w:rPr>
          <w:rStyle w:val="VerbatimChar"/>
        </w:rPr>
        <w:t>ROUTES_ADMINISTRATION</w:t>
      </w:r>
      <w:r>
        <w:rPr/>
        <w:t>.</w:t>
      </w:r>
    </w:p>
    <w:p>
      <w:pPr>
        <w:pStyle w:val="Compact"/>
        <w:numPr>
          <w:ilvl w:val="0"/>
          <w:numId w:val="511"/>
        </w:numPr>
        <w:rPr/>
      </w:pPr>
      <w:r>
        <w:rPr/>
        <w:t>Pas d’appel réseau réel : moquez (</w:t>
      </w:r>
      <w:r>
        <w:rPr>
          <w:rStyle w:val="VerbatimChar"/>
        </w:rPr>
        <w:t>unittest.mock.patch</w:t>
      </w:r>
      <w:r>
        <w:rPr/>
        <w:t>), comme pour reCAPTCHA.</w:t>
      </w:r>
      <w:bookmarkEnd w:id="453"/>
    </w:p>
    <w:p>
      <w:pPr>
        <w:pStyle w:val="Heading3"/>
        <w:rPr/>
      </w:pPr>
      <w:bookmarkStart w:id="454" w:name="frontend-1"/>
      <w:r>
        <w:rPr/>
        <w:t>Frontend</w:t>
      </w:r>
    </w:p>
    <w:p>
      <w:pPr>
        <w:pStyle w:val="FirstParagraph"/>
        <w:rPr/>
      </w:pPr>
      <w:r>
        <w:rPr/>
        <w:t>Il n’y a pas encore de tests automatisés côté frontend. Le filet de sécurité actuel est :</w:t>
      </w:r>
    </w:p>
    <w:p>
      <w:pPr>
        <w:pStyle w:val="Compact"/>
        <w:numPr>
          <w:ilvl w:val="0"/>
          <w:numId w:val="512"/>
        </w:numPr>
        <w:rPr/>
      </w:pPr>
      <w:r>
        <w:rPr>
          <w:rStyle w:val="VerbatimChar"/>
        </w:rPr>
        <w:t>npm run lint</w:t>
      </w:r>
      <w:r>
        <w:rPr/>
        <w:t xml:space="preserve"> (ESLint </w:t>
      </w:r>
      <w:r>
        <w:rPr>
          <w:rStyle w:val="VerbatimChar"/>
        </w:rPr>
        <w:t>eslint-config-next</w:t>
      </w:r>
      <w:r>
        <w:rPr/>
        <w:t>), exécuté par la CI ;</w:t>
      </w:r>
    </w:p>
    <w:p>
      <w:pPr>
        <w:pStyle w:val="Compact"/>
        <w:numPr>
          <w:ilvl w:val="0"/>
          <w:numId w:val="513"/>
        </w:numPr>
        <w:rPr/>
      </w:pPr>
      <w:r>
        <w:rPr>
          <w:rStyle w:val="VerbatimChar"/>
        </w:rPr>
        <w:t>npm run build</w:t>
      </w:r>
      <w:r>
        <w:rPr/>
        <w:t>, qui détecte les erreurs d’import et de syntaxe ;</w:t>
      </w:r>
    </w:p>
    <w:p>
      <w:pPr>
        <w:pStyle w:val="Compact"/>
        <w:numPr>
          <w:ilvl w:val="0"/>
          <w:numId w:val="514"/>
        </w:numPr>
        <w:rPr/>
      </w:pPr>
      <w:r>
        <w:rPr/>
        <w:t>les tests de flux backend, qui garantissent que chaque route appelée par les portails répond.</w:t>
      </w:r>
    </w:p>
    <w:p>
      <w:pPr>
        <w:pStyle w:val="FirstParagraph"/>
        <w:rPr/>
      </w:pPr>
      <w:bookmarkStart w:id="455" w:name="tests-automatisés"/>
      <w:bookmarkStart w:id="456" w:name="frontend-1"/>
      <w:r>
        <w:rPr/>
        <w:t>Piste d’évolution : ajouter Playwright (déjà compatible avec Next.js) pour 3 ou 4 parcours écran (connexion, saisie de notes, paiement).</w:t>
      </w:r>
      <w:bookmarkEnd w:id="455"/>
      <w:bookmarkEnd w:id="456"/>
    </w:p>
    <w:p>
      <w:pPr>
        <w:pStyle w:val="Heading2"/>
        <w:rPr/>
      </w:pPr>
      <w:bookmarkStart w:id="457" w:name="__RefHeading___Toc15226_1458957718"/>
      <w:bookmarkStart w:id="458" w:name="ajouter-une-fonctionnalité"/>
      <w:bookmarkEnd w:id="457"/>
      <w:r>
        <w:rPr/>
        <w:t>Ajouter une fonctionnalité</w:t>
      </w:r>
    </w:p>
    <w:p>
      <w:pPr>
        <w:pStyle w:val="FirstParagraph"/>
        <w:rPr/>
      </w:pPr>
      <w:r>
        <w:rPr/>
        <w:t xml:space="preserve">Recette type, illustrée par un exemple : </w:t>
      </w:r>
      <w:r>
        <w:rPr>
          <w:b/>
          <w:bCs/>
        </w:rPr>
        <w:t>ajouter des « Bourses externes » (organisme financeur) visibles par l’étudiant</w:t>
      </w:r>
      <w:r>
        <w:rPr/>
        <w:t>.</w:t>
      </w:r>
    </w:p>
    <w:p>
      <w:pPr>
        <w:pStyle w:val="Heading3"/>
        <w:rPr/>
      </w:pPr>
      <w:bookmarkStart w:id="459" w:name="modèle-backend"/>
      <w:r>
        <w:rPr/>
        <w:t>1. Modèle (backend)</w:t>
      </w:r>
    </w:p>
    <w:p>
      <w:pPr>
        <w:pStyle w:val="FirstParagraph"/>
        <w:rPr/>
      </w:pPr>
      <w:r>
        <w:rPr/>
        <w:t xml:space="preserve">Choisissez l’app du domaine (ici </w:t>
      </w:r>
      <w:r>
        <w:rPr>
          <w:rStyle w:val="VerbatimChar"/>
        </w:rPr>
        <w:t>paiements</w:t>
      </w:r>
      <w:r>
        <w:rPr/>
        <w:t xml:space="preserve">). Dans </w:t>
      </w:r>
      <w:r>
        <w:rPr>
          <w:rStyle w:val="VerbatimChar"/>
        </w:rPr>
        <w:t>models.py</w:t>
      </w:r>
      <w:r>
        <w:rPr/>
        <w:t xml:space="preserve"> :</w:t>
      </w:r>
    </w:p>
    <w:p>
      <w:pPr>
        <w:pStyle w:val="SourceCode"/>
        <w:rPr/>
      </w:pPr>
      <w:r>
        <w:rPr>
          <w:rStyle w:val="KeywordTok"/>
        </w:rPr>
        <w:t>class</w:t>
      </w:r>
      <w:r>
        <w:rPr>
          <w:rStyle w:val="NormalTok"/>
        </w:rPr>
        <w:t xml:space="preserve"> BourseExterne(models.Model):</w:t>
      </w:r>
      <w:r>
        <w:rPr/>
        <w:br/>
      </w:r>
      <w:r>
        <w:rPr>
          <w:rStyle w:val="NormalTok"/>
        </w:rPr>
        <w:t xml:space="preserve">    etudiant </w:t>
      </w:r>
      <w:r>
        <w:rPr>
          <w:rStyle w:val="OperatorTok"/>
        </w:rPr>
        <w:t>=</w:t>
      </w:r>
      <w:r>
        <w:rPr>
          <w:rStyle w:val="NormalTok"/>
        </w:rPr>
        <w:t xml:space="preserve"> models.ForeignKey(</w:t>
      </w:r>
      <w:r>
        <w:rPr>
          <w:rStyle w:val="StringTok"/>
        </w:rPr>
        <w:t>"etudiants.Etudiant"</w:t>
      </w:r>
      <w:r>
        <w:rPr>
          <w:rStyle w:val="NormalTok"/>
        </w:rPr>
        <w:t>, on_delete</w:t>
      </w:r>
      <w:r>
        <w:rPr>
          <w:rStyle w:val="OperatorTok"/>
        </w:rPr>
        <w:t>=</w:t>
      </w:r>
      <w:r>
        <w:rPr>
          <w:rStyle w:val="NormalTok"/>
        </w:rPr>
        <w:t>models.CASCADE, related_name</w:t>
      </w:r>
      <w:r>
        <w:rPr>
          <w:rStyle w:val="OperatorTok"/>
        </w:rPr>
        <w:t>=</w:t>
      </w:r>
      <w:r>
        <w:rPr>
          <w:rStyle w:val="StringTok"/>
        </w:rPr>
        <w:t>"bourses_externes"</w:t>
      </w:r>
      <w:r>
        <w:rPr>
          <w:rStyle w:val="NormalTok"/>
        </w:rPr>
        <w:t>)</w:t>
      </w:r>
      <w:r>
        <w:rPr/>
        <w:br/>
      </w:r>
      <w:r>
        <w:rPr>
          <w:rStyle w:val="NormalTok"/>
        </w:rPr>
        <w:t xml:space="preserve">    organisme </w:t>
      </w:r>
      <w:r>
        <w:rPr>
          <w:rStyle w:val="OperatorTok"/>
        </w:rPr>
        <w:t>=</w:t>
      </w:r>
      <w:r>
        <w:rPr>
          <w:rStyle w:val="NormalTok"/>
        </w:rPr>
        <w:t xml:space="preserve"> models.CharField(max_length</w:t>
      </w:r>
      <w:r>
        <w:rPr>
          <w:rStyle w:val="OperatorTok"/>
        </w:rPr>
        <w:t>=</w:t>
      </w:r>
      <w:r>
        <w:rPr>
          <w:rStyle w:val="DecValTok"/>
        </w:rPr>
        <w:t>150</w:t>
      </w:r>
      <w:r>
        <w:rPr>
          <w:rStyle w:val="NormalTok"/>
        </w:rPr>
        <w:t>)</w:t>
      </w:r>
      <w:r>
        <w:rPr/>
        <w:br/>
      </w:r>
      <w:r>
        <w:rPr>
          <w:rStyle w:val="NormalTok"/>
        </w:rPr>
        <w:t xml:space="preserve">    montant </w:t>
      </w:r>
      <w:r>
        <w:rPr>
          <w:rStyle w:val="OperatorTok"/>
        </w:rPr>
        <w:t>=</w:t>
      </w:r>
      <w:r>
        <w:rPr>
          <w:rStyle w:val="NormalTok"/>
        </w:rPr>
        <w:t xml:space="preserve"> models.DecimalField(max_digits</w:t>
      </w:r>
      <w:r>
        <w:rPr>
          <w:rStyle w:val="OperatorTok"/>
        </w:rPr>
        <w:t>=</w:t>
      </w:r>
      <w:r>
        <w:rPr>
          <w:rStyle w:val="DecValTok"/>
        </w:rPr>
        <w:t>12</w:t>
      </w:r>
      <w:r>
        <w:rPr>
          <w:rStyle w:val="NormalTok"/>
        </w:rPr>
        <w:t>, decimal_places</w:t>
      </w:r>
      <w:r>
        <w:rPr>
          <w:rStyle w:val="OperatorTok"/>
        </w:rPr>
        <w:t>=</w:t>
      </w:r>
      <w:r>
        <w:rPr>
          <w:rStyle w:val="DecValTok"/>
        </w:rPr>
        <w:t>2</w:t>
      </w:r>
      <w:r>
        <w:rPr>
          <w:rStyle w:val="NormalTok"/>
        </w:rPr>
        <w:t>)</w:t>
      </w:r>
      <w:r>
        <w:rPr/>
        <w:br/>
      </w:r>
      <w:r>
        <w:rPr>
          <w:rStyle w:val="NormalTok"/>
        </w:rPr>
        <w:t xml:space="preserve">    annee_academique </w:t>
      </w:r>
      <w:r>
        <w:rPr>
          <w:rStyle w:val="OperatorTok"/>
        </w:rPr>
        <w:t>=</w:t>
      </w:r>
      <w:r>
        <w:rPr>
          <w:rStyle w:val="NormalTok"/>
        </w:rPr>
        <w:t xml:space="preserve"> models.ForeignKey(</w:t>
      </w:r>
      <w:r>
        <w:rPr>
          <w:rStyle w:val="StringTok"/>
        </w:rPr>
        <w:t>"academique.AnneeAcademique"</w:t>
      </w:r>
      <w:r>
        <w:rPr>
          <w:rStyle w:val="NormalTok"/>
        </w:rPr>
        <w:t>, on_delete</w:t>
      </w:r>
      <w:r>
        <w:rPr>
          <w:rStyle w:val="OperatorTok"/>
        </w:rPr>
        <w:t>=</w:t>
      </w:r>
      <w:r>
        <w:rPr>
          <w:rStyle w:val="NormalTok"/>
        </w:rPr>
        <w:t>models.PROTECT)</w:t>
      </w:r>
      <w:r>
        <w:rPr/>
        <w:br/>
        <w:br/>
      </w:r>
      <w:r>
        <w:rPr>
          <w:rStyle w:val="NormalTok"/>
        </w:rPr>
        <w:t xml:space="preserve">    </w:t>
      </w:r>
      <w:r>
        <w:rPr>
          <w:rStyle w:val="KeywordTok"/>
        </w:rPr>
        <w:t>def</w:t>
      </w:r>
      <w:r>
        <w:rPr>
          <w:rStyle w:val="NormalTok"/>
        </w:rPr>
        <w:t xml:space="preserve"> clean(</w:t>
      </w:r>
      <w:r>
        <w:rPr>
          <w:rStyle w:val="VariableTok"/>
        </w:rPr>
        <w:t>self</w:t>
      </w:r>
      <w:r>
        <w:rPr>
          <w:rStyle w:val="NormalTok"/>
        </w:rPr>
        <w:t xml:space="preserve">):           </w:t>
      </w:r>
      <w:r>
        <w:rPr>
          <w:rStyle w:val="CommentTok"/>
        </w:rPr>
        <w:t># règle métier ICI, pas dans la vue ni le frontend</w:t>
      </w:r>
      <w:r>
        <w:rPr/>
        <w:br/>
      </w:r>
      <w:r>
        <w:rPr>
          <w:rStyle w:val="NormalTok"/>
        </w:rPr>
        <w:t xml:space="preserve">        </w:t>
      </w:r>
      <w:r>
        <w:rPr>
          <w:rStyle w:val="ControlFlowTok"/>
        </w:rPr>
        <w:t>if</w:t>
      </w:r>
      <w:r>
        <w:rPr>
          <w:rStyle w:val="NormalTok"/>
        </w:rPr>
        <w:t xml:space="preserve"> </w:t>
      </w:r>
      <w:r>
        <w:rPr>
          <w:rStyle w:val="VariableTok"/>
        </w:rPr>
        <w:t>self</w:t>
      </w:r>
      <w:r>
        <w:rPr>
          <w:rStyle w:val="NormalTok"/>
        </w:rPr>
        <w:t xml:space="preserve">.montant </w:t>
      </w:r>
      <w:r>
        <w:rPr>
          <w:rStyle w:val="OperatorTok"/>
        </w:rPr>
        <w:t>&lt;=</w:t>
      </w:r>
      <w:r>
        <w:rPr>
          <w:rStyle w:val="NormalTok"/>
        </w:rPr>
        <w:t xml:space="preserve"> </w:t>
      </w:r>
      <w:r>
        <w:rPr>
          <w:rStyle w:val="DecValTok"/>
        </w:rPr>
        <w:t>0</w:t>
      </w:r>
      <w:r>
        <w:rPr>
          <w:rStyle w:val="NormalTok"/>
        </w:rPr>
        <w:t>:</w:t>
      </w:r>
      <w:r>
        <w:rPr/>
        <w:br/>
      </w:r>
      <w:r>
        <w:rPr>
          <w:rStyle w:val="NormalTok"/>
        </w:rPr>
        <w:t xml:space="preserve">            </w:t>
      </w:r>
      <w:r>
        <w:rPr>
          <w:rStyle w:val="ControlFlowTok"/>
        </w:rPr>
        <w:t>raise</w:t>
      </w:r>
      <w:r>
        <w:rPr>
          <w:rStyle w:val="NormalTok"/>
        </w:rPr>
        <w:t xml:space="preserve"> ValidationError({</w:t>
      </w:r>
      <w:r>
        <w:rPr>
          <w:rStyle w:val="StringTok"/>
        </w:rPr>
        <w:t>"montant"</w:t>
      </w:r>
      <w:r>
        <w:rPr>
          <w:rStyle w:val="NormalTok"/>
        </w:rPr>
        <w:t xml:space="preserve">: </w:t>
      </w:r>
      <w:r>
        <w:rPr>
          <w:rStyle w:val="StringTok"/>
        </w:rPr>
        <w:t>"Le montant doit être positif."</w:t>
      </w:r>
      <w:r>
        <w:rPr>
          <w:rStyle w:val="NormalTok"/>
        </w:rPr>
        <w:t>})</w:t>
      </w:r>
    </w:p>
    <w:p>
      <w:pPr>
        <w:pStyle w:val="SourceCode"/>
        <w:rPr/>
      </w:pPr>
      <w:r>
        <w:rPr>
          <w:rStyle w:val="ExtensionTok"/>
        </w:rPr>
        <w:t>python</w:t>
      </w:r>
      <w:r>
        <w:rPr>
          <w:rStyle w:val="NormalTok"/>
        </w:rPr>
        <w:t xml:space="preserve"> manage.py makemigrations paiements</w:t>
      </w:r>
      <w:r>
        <w:rPr/>
        <w:br/>
      </w:r>
      <w:r>
        <w:rPr>
          <w:rStyle w:val="ExtensionTok"/>
        </w:rPr>
        <w:t>python</w:t>
      </w:r>
      <w:r>
        <w:rPr>
          <w:rStyle w:val="NormalTok"/>
        </w:rPr>
        <w:t xml:space="preserve"> manage.py migrate</w:t>
      </w:r>
    </w:p>
    <w:p>
      <w:pPr>
        <w:pStyle w:val="FirstParagraph"/>
        <w:rPr/>
      </w:pPr>
      <w:r>
        <w:rPr/>
        <w:t xml:space="preserve">Committez </w:t>
      </w:r>
      <w:r>
        <w:rPr>
          <w:b/>
          <w:bCs/>
        </w:rPr>
        <w:t>le fichier de migration</w:t>
      </w:r>
      <w:r>
        <w:rPr/>
        <w:t xml:space="preserve"> avec le code.</w:t>
      </w:r>
      <w:bookmarkEnd w:id="459"/>
    </w:p>
    <w:p>
      <w:pPr>
        <w:pStyle w:val="Heading3"/>
        <w:rPr/>
      </w:pPr>
      <w:bookmarkStart w:id="460" w:name="api"/>
      <w:r>
        <w:rPr/>
        <w:t>2. API</w:t>
      </w:r>
    </w:p>
    <w:p>
      <w:pPr>
        <w:pStyle w:val="Compact"/>
        <w:numPr>
          <w:ilvl w:val="0"/>
          <w:numId w:val="515"/>
        </w:numPr>
        <w:rPr/>
      </w:pPr>
      <w:r>
        <w:rPr>
          <w:rStyle w:val="VerbatimChar"/>
        </w:rPr>
        <w:t>serializers.py</w:t>
      </w:r>
      <w:r>
        <w:rPr/>
        <w:t xml:space="preserve"> : un </w:t>
      </w:r>
      <w:r>
        <w:rPr>
          <w:rStyle w:val="VerbatimChar"/>
        </w:rPr>
        <w:t>ModelSerializer</w:t>
      </w:r>
      <w:r>
        <w:rPr/>
        <w:t xml:space="preserve"> ; appelez </w:t>
      </w:r>
      <w:r>
        <w:rPr>
          <w:rStyle w:val="VerbatimChar"/>
        </w:rPr>
        <w:t>instance.clean()</w:t>
      </w:r>
      <w:r>
        <w:rPr/>
        <w:t xml:space="preserve"> dans </w:t>
      </w:r>
      <w:r>
        <w:rPr>
          <w:rStyle w:val="VerbatimChar"/>
        </w:rPr>
        <w:t>validate()</w:t>
      </w:r>
      <w:r>
        <w:rPr/>
        <w:t xml:space="preserve"> si la règle est dans le modèle (voir </w:t>
      </w:r>
      <w:r>
        <w:rPr>
          <w:rStyle w:val="VerbatimChar"/>
        </w:rPr>
        <w:t>emploidutemps/serializers.py</w:t>
      </w:r>
      <w:r>
        <w:rPr/>
        <w:t>).</w:t>
      </w:r>
    </w:p>
    <w:p>
      <w:pPr>
        <w:pStyle w:val="Compact"/>
        <w:numPr>
          <w:ilvl w:val="0"/>
          <w:numId w:val="516"/>
        </w:numPr>
        <w:rPr/>
      </w:pPr>
      <w:r>
        <w:rPr>
          <w:rStyle w:val="VerbatimChar"/>
        </w:rPr>
        <w:t>views.py</w:t>
      </w:r>
      <w:r>
        <w:rPr/>
        <w:t xml:space="preserve"> : un </w:t>
      </w:r>
      <w:r>
        <w:rPr>
          <w:rStyle w:val="VerbatimChar"/>
        </w:rPr>
        <w:t>ModelViewSet</w:t>
      </w:r>
      <w:r>
        <w:rPr/>
        <w:t xml:space="preserve"> ; contrôlez les droits dans </w:t>
      </w:r>
      <w:r>
        <w:rPr>
          <w:rStyle w:val="VerbatimChar"/>
        </w:rPr>
        <w:t>perform_create/update/destroy</w:t>
      </w:r>
      <w:r>
        <w:rPr/>
        <w:t xml:space="preserve"> avec </w:t>
      </w:r>
      <w:r>
        <w:rPr>
          <w:rStyle w:val="VerbatimChar"/>
        </w:rPr>
        <w:t>user_has_write_access(request.user, "can_manage_finance")</w:t>
      </w:r>
      <w:r>
        <w:rPr/>
        <w:t>.</w:t>
      </w:r>
    </w:p>
    <w:p>
      <w:pPr>
        <w:pStyle w:val="Compact"/>
        <w:numPr>
          <w:ilvl w:val="0"/>
          <w:numId w:val="517"/>
        </w:numPr>
        <w:rPr/>
      </w:pPr>
      <w:r>
        <w:rPr/>
        <w:t xml:space="preserve">Filtrez par année : </w:t>
      </w:r>
      <w:r>
        <w:rPr>
          <w:rStyle w:val="VerbatimChar"/>
        </w:rPr>
        <w:t>get_current_academic_year_id()</w:t>
      </w:r>
      <w:r>
        <w:rPr/>
        <w:t xml:space="preserve"> (</w:t>
      </w:r>
      <w:r>
        <w:rPr>
          <w:rStyle w:val="VerbatimChar"/>
        </w:rPr>
        <w:t>academique.middleware</w:t>
      </w:r>
      <w:r>
        <w:rPr/>
        <w:t>).</w:t>
      </w:r>
    </w:p>
    <w:p>
      <w:pPr>
        <w:pStyle w:val="Compact"/>
        <w:numPr>
          <w:ilvl w:val="0"/>
          <w:numId w:val="518"/>
        </w:numPr>
        <w:rPr/>
      </w:pPr>
      <w:r>
        <w:rPr>
          <w:rStyle w:val="VerbatimChar"/>
        </w:rPr>
        <w:t>urls.py</w:t>
      </w:r>
      <w:r>
        <w:rPr/>
        <w:t xml:space="preserve"> : </w:t>
      </w:r>
      <w:r>
        <w:rPr>
          <w:rStyle w:val="VerbatimChar"/>
        </w:rPr>
        <w:t>router.register("bourses-externes", BourseExterneViewSet)</w:t>
      </w:r>
      <w:r>
        <w:rPr/>
        <w:t>.</w:t>
      </w:r>
      <w:bookmarkEnd w:id="460"/>
    </w:p>
    <w:p>
      <w:pPr>
        <w:pStyle w:val="Heading3"/>
        <w:rPr/>
      </w:pPr>
      <w:bookmarkStart w:id="461" w:name="droits-et-portails"/>
      <w:r>
        <w:rPr/>
        <w:t>3. Droits et portails</w:t>
      </w:r>
    </w:p>
    <w:p>
      <w:pPr>
        <w:pStyle w:val="Compact"/>
        <w:numPr>
          <w:ilvl w:val="0"/>
          <w:numId w:val="519"/>
        </w:numPr>
        <w:rPr/>
      </w:pPr>
      <w:r>
        <w:rPr/>
        <w:t xml:space="preserve">Route d’administration : ajoutez sa règle dans </w:t>
      </w:r>
      <w:r>
        <w:rPr>
          <w:rStyle w:val="VerbatimChar"/>
        </w:rPr>
        <w:t>REGLES</w:t>
      </w:r>
      <w:r>
        <w:rPr/>
        <w:t xml:space="preserve"> (</w:t>
      </w:r>
      <w:r>
        <w:rPr>
          <w:rStyle w:val="VerbatimChar"/>
        </w:rPr>
        <w:t>users/acces_personnel.py</w:t>
      </w:r>
      <w:r>
        <w:rPr/>
        <w:t xml:space="preserve">), par exemple </w:t>
      </w:r>
      <w:r>
        <w:rPr>
          <w:rStyle w:val="VerbatimChar"/>
        </w:rPr>
        <w:t>(r"^/api/bourses-externes(/|$)", (FIN, ET), (FIN,))</w:t>
      </w:r>
      <w:r>
        <w:rPr/>
        <w:t>. Sans règle, seule l’administration y accède. Elle est automatiquement interdite aux comptes portail.</w:t>
      </w:r>
    </w:p>
    <w:p>
      <w:pPr>
        <w:pStyle w:val="Compact"/>
        <w:numPr>
          <w:ilvl w:val="0"/>
          <w:numId w:val="520"/>
        </w:numPr>
        <w:rPr/>
      </w:pPr>
      <w:r>
        <w:rPr/>
        <w:t xml:space="preserve">Route lue par le </w:t>
      </w:r>
      <w:r>
        <w:rPr>
          <w:b/>
          <w:bCs/>
        </w:rPr>
        <w:t>portail étudiant</w:t>
      </w:r>
      <w:r>
        <w:rPr/>
        <w:t xml:space="preserve"> (ex. </w:t>
      </w:r>
      <w:r>
        <w:rPr>
          <w:rStyle w:val="VerbatimChar"/>
        </w:rPr>
        <w:t>/api/paiements/me/bourses-externes/</w:t>
      </w:r>
      <w:r>
        <w:rPr/>
        <w:t xml:space="preserve">) : ajoutez-la à </w:t>
      </w:r>
      <w:r>
        <w:rPr>
          <w:rStyle w:val="VerbatimChar"/>
        </w:rPr>
        <w:t>PORTAL_RULES["etudiant"]</w:t>
      </w:r>
      <w:r>
        <w:rPr/>
        <w:t xml:space="preserve"> dans </w:t>
      </w:r>
      <w:r>
        <w:rPr>
          <w:rStyle w:val="VerbatimChar"/>
        </w:rPr>
        <w:t>users/middleware.py</w:t>
      </w:r>
      <w:r>
        <w:rPr/>
        <w:t xml:space="preserve"> </w:t>
      </w:r>
      <w:r>
        <w:rPr>
          <w:b/>
          <w:bCs/>
        </w:rPr>
        <w:t>et</w:t>
      </w:r>
      <w:r>
        <w:rPr/>
        <w:t xml:space="preserve"> filtrez sur </w:t>
      </w:r>
      <w:r>
        <w:rPr>
          <w:rStyle w:val="VerbatimChar"/>
        </w:rPr>
        <w:t>request.user</w:t>
      </w:r>
      <w:r>
        <w:rPr/>
        <w:t xml:space="preserve"> dans la vue. Voir Permissions.</w:t>
      </w:r>
      <w:bookmarkEnd w:id="461"/>
    </w:p>
    <w:p>
      <w:pPr>
        <w:pStyle w:val="Heading3"/>
        <w:rPr/>
      </w:pPr>
      <w:bookmarkStart w:id="462" w:name="écran-frontend"/>
      <w:r>
        <w:rPr/>
        <w:t>4. Écran (frontend)</w:t>
      </w:r>
    </w:p>
    <w:p>
      <w:pPr>
        <w:pStyle w:val="Compact"/>
        <w:numPr>
          <w:ilvl w:val="0"/>
          <w:numId w:val="521"/>
        </w:numPr>
        <w:rPr/>
      </w:pPr>
      <w:r>
        <w:rPr/>
        <w:t xml:space="preserve">Endpoint dans </w:t>
      </w:r>
      <w:r>
        <w:rPr>
          <w:rStyle w:val="VerbatimChar"/>
        </w:rPr>
        <w:t>src/services/api/endpoints.js</w:t>
      </w:r>
      <w:r>
        <w:rPr/>
        <w:t xml:space="preserve">, service dans </w:t>
      </w:r>
      <w:r>
        <w:rPr>
          <w:rStyle w:val="VerbatimChar"/>
        </w:rPr>
        <w:t>src/services/api/services.js</w:t>
      </w:r>
      <w:r>
        <w:rPr/>
        <w:t xml:space="preserve"> (réutilisez </w:t>
      </w:r>
      <w:r>
        <w:rPr>
          <w:rStyle w:val="VerbatimChar"/>
        </w:rPr>
        <w:t>createCrudService</w:t>
      </w:r>
      <w:r>
        <w:rPr/>
        <w:t>).</w:t>
      </w:r>
    </w:p>
    <w:p>
      <w:pPr>
        <w:pStyle w:val="Compact"/>
        <w:numPr>
          <w:ilvl w:val="0"/>
          <w:numId w:val="522"/>
        </w:numPr>
        <w:rPr/>
      </w:pPr>
      <w:r>
        <w:rPr/>
        <w:t xml:space="preserve">Page dans </w:t>
      </w:r>
      <w:r>
        <w:rPr>
          <w:rStyle w:val="VerbatimChar"/>
        </w:rPr>
        <w:t>src/app/(dashboard)/&lt;chemin&gt;/page.js</w:t>
      </w:r>
      <w:r>
        <w:rPr/>
        <w:t xml:space="preserve"> (ou un composant dans </w:t>
      </w:r>
      <w:r>
        <w:rPr>
          <w:rStyle w:val="VerbatimChar"/>
        </w:rPr>
        <w:t>src/components/&lt;domaine&gt;/</w:t>
      </w:r>
      <w:r>
        <w:rPr/>
        <w:t>).</w:t>
      </w:r>
    </w:p>
    <w:p>
      <w:pPr>
        <w:pStyle w:val="Compact"/>
        <w:numPr>
          <w:ilvl w:val="0"/>
          <w:numId w:val="523"/>
        </w:numPr>
        <w:rPr/>
      </w:pPr>
      <w:r>
        <w:rPr/>
        <w:t xml:space="preserve">Entrée de menu dans </w:t>
      </w:r>
      <w:r>
        <w:rPr>
          <w:rStyle w:val="VerbatimChar"/>
        </w:rPr>
        <w:t>src/config/routes.js</w:t>
      </w:r>
      <w:r>
        <w:rPr/>
        <w:t xml:space="preserve"> ; si elle dépend d’un domaine de droits, ajoutez son libellé au bon groupe dans </w:t>
      </w:r>
      <w:r>
        <w:rPr>
          <w:rStyle w:val="VerbatimChar"/>
        </w:rPr>
        <w:t>components/layout/Sidebar.js</w:t>
      </w:r>
      <w:r>
        <w:rPr/>
        <w:t>.</w:t>
      </w:r>
    </w:p>
    <w:p>
      <w:pPr>
        <w:pStyle w:val="Compact"/>
        <w:numPr>
          <w:ilvl w:val="0"/>
          <w:numId w:val="524"/>
        </w:numPr>
        <w:rPr/>
      </w:pPr>
      <w:r>
        <w:rPr/>
        <w:t xml:space="preserve">Masquez les boutons d’écriture selon </w:t>
      </w:r>
      <w:r>
        <w:rPr>
          <w:rStyle w:val="VerbatimChar"/>
        </w:rPr>
        <w:t>useUserPermissions()</w:t>
      </w:r>
      <w:r>
        <w:rPr/>
        <w:t xml:space="preserve"> (</w:t>
      </w:r>
      <w:r>
        <w:rPr>
          <w:rStyle w:val="VerbatimChar"/>
        </w:rPr>
        <w:t>utils/permissions.js</w:t>
      </w:r>
      <w:r>
        <w:rPr/>
        <w:t>) — le serveur reste juge.</w:t>
      </w:r>
    </w:p>
    <w:p>
      <w:pPr>
        <w:pStyle w:val="Compact"/>
        <w:numPr>
          <w:ilvl w:val="0"/>
          <w:numId w:val="525"/>
        </w:numPr>
        <w:rPr/>
      </w:pPr>
      <w:r>
        <w:rPr/>
        <w:t>Affichez les erreurs serveur (</w:t>
      </w:r>
      <w:r>
        <w:rPr>
          <w:rStyle w:val="VerbatimChar"/>
        </w:rPr>
        <w:t>getApiErrorMessage(err)</w:t>
      </w:r>
      <w:r>
        <w:rPr/>
        <w:t xml:space="preserve">) dans un </w:t>
      </w:r>
      <w:r>
        <w:rPr>
          <w:rStyle w:val="VerbatimChar"/>
        </w:rPr>
        <w:t>Snackbar</w:t>
      </w:r>
      <w:r>
        <w:rPr/>
        <w:t>.</w:t>
      </w:r>
      <w:bookmarkEnd w:id="462"/>
    </w:p>
    <w:p>
      <w:pPr>
        <w:pStyle w:val="Heading3"/>
        <w:rPr/>
      </w:pPr>
      <w:bookmarkStart w:id="463" w:name="tests"/>
      <w:r>
        <w:rPr/>
        <w:t>5. Tests</w:t>
      </w:r>
    </w:p>
    <w:p>
      <w:pPr>
        <w:pStyle w:val="FirstParagraph"/>
        <w:rPr/>
      </w:pPr>
      <w:r>
        <w:rPr/>
        <w:t xml:space="preserve">Ajoutez un scénario dans </w:t>
      </w:r>
      <w:r>
        <w:rPr>
          <w:rStyle w:val="VerbatimChar"/>
        </w:rPr>
        <w:t>back-istc/tests/</w:t>
      </w:r>
      <w:r>
        <w:rPr/>
        <w:t xml:space="preserve"> (voir Tests) :</w:t>
      </w:r>
    </w:p>
    <w:p>
      <w:pPr>
        <w:pStyle w:val="Compact"/>
        <w:numPr>
          <w:ilvl w:val="0"/>
          <w:numId w:val="526"/>
        </w:numPr>
        <w:rPr/>
      </w:pPr>
      <w:r>
        <w:rPr/>
        <w:t>le cas nominal (création, effet attendu) ;</w:t>
      </w:r>
    </w:p>
    <w:p>
      <w:pPr>
        <w:pStyle w:val="Compact"/>
        <w:numPr>
          <w:ilvl w:val="0"/>
          <w:numId w:val="527"/>
        </w:numPr>
        <w:rPr/>
      </w:pPr>
      <w:r>
        <w:rPr/>
        <w:t>un cas refusé (validation, droits insuffisants) ;</w:t>
      </w:r>
    </w:p>
    <w:p>
      <w:pPr>
        <w:pStyle w:val="Compact"/>
        <w:numPr>
          <w:ilvl w:val="0"/>
          <w:numId w:val="528"/>
        </w:numPr>
        <w:rPr/>
      </w:pPr>
      <w:r>
        <w:rPr/>
        <w:t xml:space="preserve">la route de portail dans </w:t>
      </w:r>
      <w:r>
        <w:rPr>
          <w:rStyle w:val="VerbatimChar"/>
        </w:rPr>
        <w:t>ROUTES_ETUDIANT</w:t>
      </w:r>
      <w:r>
        <w:rPr/>
        <w:t xml:space="preserve">, la route d’admin dans </w:t>
      </w:r>
      <w:r>
        <w:rPr>
          <w:rStyle w:val="VerbatimChar"/>
        </w:rPr>
        <w:t>ROUTES_ADMINISTRATION</w:t>
      </w:r>
      <w:r>
        <w:rPr/>
        <w:t>.</w:t>
      </w:r>
      <w:bookmarkEnd w:id="463"/>
    </w:p>
    <w:p>
      <w:pPr>
        <w:pStyle w:val="Heading3"/>
        <w:rPr/>
      </w:pPr>
      <w:bookmarkStart w:id="464" w:name="documentation"/>
      <w:r>
        <w:rPr/>
        <w:t>6. Documentation</w:t>
      </w:r>
    </w:p>
    <w:p>
      <w:pPr>
        <w:pStyle w:val="Compact"/>
        <w:numPr>
          <w:ilvl w:val="0"/>
          <w:numId w:val="529"/>
        </w:numPr>
        <w:rPr/>
      </w:pPr>
      <w:r>
        <w:rPr/>
        <w:t xml:space="preserve">Guide utilisateur : la page du module dans </w:t>
      </w:r>
      <w:r>
        <w:rPr>
          <w:rStyle w:val="VerbatimChar"/>
        </w:rPr>
        <w:t>docs/guide/…</w:t>
      </w:r>
      <w:r>
        <w:rPr/>
        <w:t xml:space="preserve"> (noms exacts des boutons, procédure pas à pas, messages d’erreur).</w:t>
      </w:r>
    </w:p>
    <w:p>
      <w:pPr>
        <w:pStyle w:val="Compact"/>
        <w:numPr>
          <w:ilvl w:val="0"/>
          <w:numId w:val="530"/>
        </w:numPr>
        <w:rPr/>
      </w:pPr>
      <w:r>
        <w:rPr>
          <w:rStyle w:val="VerbatimChar"/>
        </w:rPr>
        <w:t>docs/developpeurs/applications.md</w:t>
      </w:r>
      <w:r>
        <w:rPr/>
        <w:t xml:space="preserve"> si une app ou un préfixe d’URL est ajouté.</w:t>
      </w:r>
    </w:p>
    <w:p>
      <w:pPr>
        <w:pStyle w:val="Compact"/>
        <w:numPr>
          <w:ilvl w:val="0"/>
          <w:numId w:val="531"/>
        </w:numPr>
        <w:rPr/>
      </w:pPr>
      <w:r>
        <w:rPr>
          <w:rStyle w:val="VerbatimChar"/>
        </w:rPr>
        <w:t>docs/installation/configuration.md</w:t>
      </w:r>
      <w:r>
        <w:rPr/>
        <w:t xml:space="preserve"> si une variable </w:t>
      </w:r>
      <w:r>
        <w:rPr>
          <w:rStyle w:val="VerbatimChar"/>
        </w:rPr>
        <w:t>.env</w:t>
      </w:r>
      <w:r>
        <w:rPr/>
        <w:t xml:space="preserve"> est ajoutée (et </w:t>
      </w:r>
      <w:r>
        <w:rPr>
          <w:rStyle w:val="VerbatimChar"/>
        </w:rPr>
        <w:t>back-istc/.env.example</w:t>
      </w:r>
      <w:r>
        <w:rPr/>
        <w:t>).</w:t>
      </w:r>
      <w:bookmarkEnd w:id="464"/>
    </w:p>
    <w:p>
      <w:pPr>
        <w:pStyle w:val="Heading3"/>
        <w:rPr/>
      </w:pPr>
      <w:bookmarkStart w:id="465" w:name="liste-de-contrôle-avant-la-pull-request"/>
      <w:r>
        <w:rPr/>
        <w:t>Liste de contrôle avant la pull request</w:t>
      </w:r>
    </w:p>
    <w:p>
      <w:pPr>
        <w:pStyle w:val="Compact"/>
        <w:numPr>
          <w:ilvl w:val="0"/>
          <w:numId w:val="532"/>
        </w:numPr>
        <w:rPr/>
      </w:pPr>
      <w:r>
        <w:rPr/>
        <w:t xml:space="preserve">☐ </w:t>
      </w:r>
      <w:r>
        <w:rPr/>
        <w:t>Migration générée et committée</w:t>
      </w:r>
    </w:p>
    <w:p>
      <w:pPr>
        <w:pStyle w:val="Compact"/>
        <w:numPr>
          <w:ilvl w:val="0"/>
          <w:numId w:val="533"/>
        </w:numPr>
        <w:rPr/>
      </w:pPr>
      <w:r>
        <w:rPr/>
        <w:t xml:space="preserve">☐ </w:t>
      </w:r>
      <w:r>
        <w:rPr/>
        <w:t>Règle métier dans le modèle / un service, testée</w:t>
      </w:r>
    </w:p>
    <w:p>
      <w:pPr>
        <w:pStyle w:val="Compact"/>
        <w:numPr>
          <w:ilvl w:val="0"/>
          <w:numId w:val="534"/>
        </w:numPr>
        <w:rPr/>
      </w:pPr>
      <w:r>
        <w:rPr/>
        <w:t xml:space="preserve">☐ </w:t>
      </w:r>
      <w:r>
        <w:rPr/>
        <w:t xml:space="preserve">Droits contrôlés côté serveur (règle ajoutée dans </w:t>
      </w:r>
      <w:r>
        <w:rPr>
          <w:rStyle w:val="VerbatimChar"/>
        </w:rPr>
        <w:t>REGLES</w:t>
      </w:r>
      <w:r>
        <w:rPr/>
        <w:t>)</w:t>
      </w:r>
    </w:p>
    <w:p>
      <w:pPr>
        <w:pStyle w:val="Compact"/>
        <w:numPr>
          <w:ilvl w:val="0"/>
          <w:numId w:val="535"/>
        </w:numPr>
        <w:rPr/>
      </w:pPr>
      <w:r>
        <w:rPr/>
        <w:t xml:space="preserve">☐ </w:t>
      </w:r>
      <w:r>
        <w:rPr>
          <w:rStyle w:val="VerbatimChar"/>
        </w:rPr>
        <w:t>PORTAL_RULES</w:t>
      </w:r>
      <w:r>
        <w:rPr/>
        <w:t xml:space="preserve"> mis à jour si la route sert un portail</w:t>
      </w:r>
    </w:p>
    <w:p>
      <w:pPr>
        <w:pStyle w:val="Compact"/>
        <w:numPr>
          <w:ilvl w:val="0"/>
          <w:numId w:val="536"/>
        </w:numPr>
        <w:rPr/>
      </w:pPr>
      <w:r>
        <w:rPr/>
        <w:t xml:space="preserve">☐ </w:t>
      </w:r>
      <w:r>
        <w:rPr>
          <w:rStyle w:val="VerbatimChar"/>
        </w:rPr>
        <w:t>python -m pytest -q</w:t>
      </w:r>
      <w:r>
        <w:rPr/>
        <w:t xml:space="preserve"> vert, </w:t>
      </w:r>
      <w:r>
        <w:rPr>
          <w:rStyle w:val="VerbatimChar"/>
        </w:rPr>
        <w:t>npm run lint</w:t>
      </w:r>
      <w:r>
        <w:rPr/>
        <w:t xml:space="preserve"> sans erreur, </w:t>
      </w:r>
      <w:r>
        <w:rPr>
          <w:rStyle w:val="VerbatimChar"/>
        </w:rPr>
        <w:t>npm run build</w:t>
      </w:r>
      <w:r>
        <w:rPr/>
        <w:t xml:space="preserve"> OK</w:t>
      </w:r>
    </w:p>
    <w:p>
      <w:pPr>
        <w:pStyle w:val="Compact"/>
        <w:numPr>
          <w:ilvl w:val="0"/>
          <w:numId w:val="537"/>
        </w:numPr>
        <w:rPr/>
      </w:pPr>
      <w:r>
        <w:rPr/>
        <w:t xml:space="preserve">☐ </w:t>
      </w:r>
      <w:r>
        <w:rPr/>
        <w:t>Guide utilisateur mis à jour</w:t>
      </w:r>
      <w:bookmarkEnd w:id="458"/>
      <w:bookmarkEnd w:id="465"/>
    </w:p>
    <w:p>
      <w:pPr>
        <w:pStyle w:val="Heading2"/>
        <w:rPr/>
      </w:pPr>
      <w:bookmarkStart w:id="466" w:name="__RefHeading___Toc15228_1458957718"/>
      <w:bookmarkStart w:id="467" w:name="conventions-de-code"/>
      <w:bookmarkEnd w:id="466"/>
      <w:r>
        <w:rPr/>
        <w:t>Conventions de code</w:t>
      </w:r>
    </w:p>
    <w:p>
      <w:pPr>
        <w:pStyle w:val="Heading3"/>
        <w:rPr/>
      </w:pPr>
      <w:bookmarkStart w:id="468" w:name="langue"/>
      <w:r>
        <w:rPr/>
        <w:t>Langue</w:t>
      </w:r>
    </w:p>
    <w:p>
      <w:pPr>
        <w:pStyle w:val="Compact"/>
        <w:numPr>
          <w:ilvl w:val="0"/>
          <w:numId w:val="538"/>
        </w:numPr>
        <w:rPr/>
      </w:pPr>
      <w:r>
        <w:rPr>
          <w:b/>
          <w:bCs/>
        </w:rPr>
        <w:t>Domaine métier en français</w:t>
      </w:r>
      <w:r>
        <w:rPr/>
        <w:t xml:space="preserve"> (modèles, champs, messages, tests) : </w:t>
      </w:r>
      <w:r>
        <w:rPr>
          <w:rStyle w:val="VerbatimChar"/>
        </w:rPr>
        <w:t>Inscription</w:t>
      </w:r>
      <w:r>
        <w:rPr/>
        <w:t xml:space="preserve">, </w:t>
      </w:r>
      <w:r>
        <w:rPr>
          <w:rStyle w:val="VerbatimChar"/>
        </w:rPr>
        <w:t>solde_restant</w:t>
      </w:r>
      <w:r>
        <w:rPr/>
        <w:t xml:space="preserve">, </w:t>
      </w:r>
      <w:r>
        <w:rPr>
          <w:rStyle w:val="VerbatimChar"/>
        </w:rPr>
        <w:t>test_une_bourse_ne_sert_qu_une_fois</w:t>
      </w:r>
      <w:r>
        <w:rPr/>
        <w:t>. C’est la langue des utilisateurs et des messages d’erreur affichés.</w:t>
      </w:r>
    </w:p>
    <w:p>
      <w:pPr>
        <w:pStyle w:val="Compact"/>
        <w:numPr>
          <w:ilvl w:val="0"/>
          <w:numId w:val="539"/>
        </w:numPr>
        <w:rPr/>
      </w:pPr>
      <w:r>
        <w:rPr/>
        <w:t>Termes techniques génériques en anglais acceptés (</w:t>
      </w:r>
      <w:r>
        <w:rPr>
          <w:rStyle w:val="VerbatimChar"/>
        </w:rPr>
        <w:t>serializer</w:t>
      </w:r>
      <w:r>
        <w:rPr/>
        <w:t xml:space="preserve">, </w:t>
      </w:r>
      <w:r>
        <w:rPr>
          <w:rStyle w:val="VerbatimChar"/>
        </w:rPr>
        <w:t>queryset</w:t>
      </w:r>
      <w:r>
        <w:rPr/>
        <w:t xml:space="preserve">, </w:t>
      </w:r>
      <w:r>
        <w:rPr>
          <w:rStyle w:val="VerbatimChar"/>
        </w:rPr>
        <w:t>payload</w:t>
      </w:r>
      <w:r>
        <w:rPr/>
        <w:t>).</w:t>
      </w:r>
    </w:p>
    <w:p>
      <w:pPr>
        <w:pStyle w:val="Compact"/>
        <w:numPr>
          <w:ilvl w:val="0"/>
          <w:numId w:val="540"/>
        </w:numPr>
        <w:rPr/>
      </w:pPr>
      <w:r>
        <w:rPr/>
        <w:t xml:space="preserve">Messages d’erreur destinés à l’utilisateur : phrase complète en français, qui dit </w:t>
      </w:r>
      <w:r>
        <w:rPr>
          <w:b/>
          <w:bCs/>
        </w:rPr>
        <w:t>quoi faire</w:t>
      </w:r>
      <w:r>
        <w:rPr/>
        <w:t xml:space="preserve"> (« Le récapitulatif ne peut être clôturé qu’à partir du dernier jour du mois. »).</w:t>
      </w:r>
      <w:bookmarkEnd w:id="468"/>
    </w:p>
    <w:p>
      <w:pPr>
        <w:pStyle w:val="Heading3"/>
        <w:rPr/>
      </w:pPr>
      <w:bookmarkStart w:id="469" w:name="backend-python-django"/>
      <w:r>
        <w:rPr/>
        <w:t>Backend (Python / Django)</w:t>
      </w:r>
    </w:p>
    <w:p>
      <w:pPr>
        <w:pStyle w:val="Compact"/>
        <w:numPr>
          <w:ilvl w:val="0"/>
          <w:numId w:val="541"/>
        </w:numPr>
        <w:rPr/>
      </w:pPr>
      <w:r>
        <w:rPr/>
        <w:t xml:space="preserve">Style PEP 8, lignes ≤ 120 caractères. Vérification : </w:t>
      </w:r>
      <w:r>
        <w:rPr>
          <w:rStyle w:val="VerbatimChar"/>
        </w:rPr>
        <w:t>ruff check back-istc</w:t>
      </w:r>
      <w:r>
        <w:rPr/>
        <w:t xml:space="preserve"> (si installé).</w:t>
      </w:r>
    </w:p>
    <w:p>
      <w:pPr>
        <w:pStyle w:val="Compact"/>
        <w:numPr>
          <w:ilvl w:val="0"/>
          <w:numId w:val="542"/>
        </w:numPr>
        <w:rPr/>
      </w:pPr>
      <w:r>
        <w:rPr/>
        <w:t xml:space="preserve">Montants : </w:t>
      </w:r>
      <w:r>
        <w:rPr>
          <w:rStyle w:val="VerbatimChar"/>
        </w:rPr>
        <w:t>Decimal</w:t>
      </w:r>
      <w:r>
        <w:rPr/>
        <w:t xml:space="preserve">, jamais </w:t>
      </w:r>
      <w:r>
        <w:rPr>
          <w:rStyle w:val="VerbatimChar"/>
        </w:rPr>
        <w:t>float</w:t>
      </w:r>
      <w:r>
        <w:rPr/>
        <w:t xml:space="preserve">. Dates : </w:t>
      </w:r>
      <w:r>
        <w:rPr>
          <w:rStyle w:val="VerbatimChar"/>
        </w:rPr>
        <w:t>django.utils.timezone</w:t>
      </w:r>
      <w:r>
        <w:rPr/>
        <w:t>.</w:t>
      </w:r>
    </w:p>
    <w:p>
      <w:pPr>
        <w:pStyle w:val="Compact"/>
        <w:numPr>
          <w:ilvl w:val="0"/>
          <w:numId w:val="543"/>
        </w:numPr>
        <w:rPr/>
      </w:pPr>
      <w:r>
        <w:rPr/>
        <w:t xml:space="preserve">Opérations multi-tables (paiement d’une campagne, approbation d’une préinscription, congés) dans </w:t>
      </w:r>
      <w:r>
        <w:rPr>
          <w:rStyle w:val="VerbatimChar"/>
        </w:rPr>
        <w:t>transaction.atomic()</w:t>
      </w:r>
      <w:r>
        <w:rPr/>
        <w:t>.</w:t>
      </w:r>
    </w:p>
    <w:p>
      <w:pPr>
        <w:pStyle w:val="Compact"/>
        <w:numPr>
          <w:ilvl w:val="0"/>
          <w:numId w:val="544"/>
        </w:numPr>
        <w:rPr/>
      </w:pPr>
      <w:r>
        <w:rPr/>
        <w:t xml:space="preserve">Pas de requête dans une boucle quand un </w:t>
      </w:r>
      <w:r>
        <w:rPr>
          <w:rStyle w:val="VerbatimChar"/>
        </w:rPr>
        <w:t>select_related</w:t>
      </w:r>
      <w:r>
        <w:rPr/>
        <w:t xml:space="preserve"> / </w:t>
      </w:r>
      <w:r>
        <w:rPr>
          <w:rStyle w:val="VerbatimChar"/>
        </w:rPr>
        <w:t>prefetch_related</w:t>
      </w:r>
      <w:r>
        <w:rPr/>
        <w:t xml:space="preserve"> / agrégat suffit.</w:t>
      </w:r>
    </w:p>
    <w:p>
      <w:pPr>
        <w:pStyle w:val="Compact"/>
        <w:numPr>
          <w:ilvl w:val="0"/>
          <w:numId w:val="545"/>
        </w:numPr>
        <w:rPr/>
      </w:pPr>
      <w:r>
        <w:rPr/>
        <w:t xml:space="preserve">Les imports à effet de bord (signaux dans </w:t>
      </w:r>
      <w:r>
        <w:rPr>
          <w:rStyle w:val="VerbatimChar"/>
        </w:rPr>
        <w:t>apps.py</w:t>
      </w:r>
      <w:r>
        <w:rPr/>
        <w:t xml:space="preserve">) portent </w:t>
      </w:r>
      <w:r>
        <w:rPr>
          <w:rStyle w:val="VerbatimChar"/>
        </w:rPr>
        <w:t># noqa: F401</w:t>
      </w:r>
      <w:r>
        <w:rPr/>
        <w:t>.</w:t>
      </w:r>
    </w:p>
    <w:p>
      <w:pPr>
        <w:pStyle w:val="Compact"/>
        <w:numPr>
          <w:ilvl w:val="0"/>
          <w:numId w:val="546"/>
        </w:numPr>
        <w:rPr/>
      </w:pPr>
      <w:r>
        <w:rPr/>
        <w:t xml:space="preserve">Ne jamais renvoyer un mot de passe ou un secret dans une liste ; </w:t>
      </w:r>
      <w:r>
        <w:rPr>
          <w:rStyle w:val="VerbatimChar"/>
        </w:rPr>
        <w:t>initial_password</w:t>
      </w:r>
      <w:r>
        <w:rPr/>
        <w:t xml:space="preserve"> est en lecture seule.</w:t>
      </w:r>
    </w:p>
    <w:p>
      <w:pPr>
        <w:pStyle w:val="Compact"/>
        <w:numPr>
          <w:ilvl w:val="0"/>
          <w:numId w:val="547"/>
        </w:numPr>
        <w:rPr/>
      </w:pPr>
      <w:r>
        <w:rPr/>
        <w:t xml:space="preserve">Erreurs : </w:t>
      </w:r>
      <w:r>
        <w:rPr>
          <w:rStyle w:val="VerbatimChar"/>
        </w:rPr>
        <w:t>ValidationError</w:t>
      </w:r>
      <w:r>
        <w:rPr/>
        <w:t xml:space="preserve"> (400) pour une saisie invalide, </w:t>
      </w:r>
      <w:r>
        <w:rPr>
          <w:rStyle w:val="VerbatimChar"/>
        </w:rPr>
        <w:t>PermissionDenied</w:t>
      </w:r>
      <w:r>
        <w:rPr/>
        <w:t xml:space="preserve"> (403) pour un droit manquant.</w:t>
      </w:r>
      <w:bookmarkEnd w:id="469"/>
    </w:p>
    <w:p>
      <w:pPr>
        <w:pStyle w:val="Heading3"/>
        <w:rPr/>
      </w:pPr>
      <w:bookmarkStart w:id="470" w:name="frontend-next.js-react"/>
      <w:r>
        <w:rPr/>
        <w:t>Frontend (Next.js / React)</w:t>
      </w:r>
    </w:p>
    <w:p>
      <w:pPr>
        <w:pStyle w:val="Compact"/>
        <w:numPr>
          <w:ilvl w:val="0"/>
          <w:numId w:val="548"/>
        </w:numPr>
        <w:rPr/>
      </w:pPr>
      <w:r>
        <w:rPr/>
        <w:t xml:space="preserve">Composants fonctionnels + hooks ; une page = </w:t>
      </w:r>
      <w:r>
        <w:rPr>
          <w:rStyle w:val="VerbatimChar"/>
        </w:rPr>
        <w:t>page.js</w:t>
      </w:r>
      <w:r>
        <w:rPr/>
        <w:t xml:space="preserve"> dans </w:t>
      </w:r>
      <w:r>
        <w:rPr>
          <w:rStyle w:val="VerbatimChar"/>
        </w:rPr>
        <w:t>src/app/...</w:t>
      </w:r>
      <w:r>
        <w:rPr/>
        <w:t>.</w:t>
      </w:r>
    </w:p>
    <w:p>
      <w:pPr>
        <w:pStyle w:val="Compact"/>
        <w:numPr>
          <w:ilvl w:val="0"/>
          <w:numId w:val="549"/>
        </w:numPr>
        <w:rPr/>
      </w:pPr>
      <w:r>
        <w:rPr/>
        <w:t xml:space="preserve">Tout appel réseau passe par </w:t>
      </w:r>
      <w:r>
        <w:rPr>
          <w:rStyle w:val="VerbatimChar"/>
        </w:rPr>
        <w:t>src/services/api/services.js</w:t>
      </w:r>
      <w:r>
        <w:rPr/>
        <w:t>.</w:t>
      </w:r>
    </w:p>
    <w:p>
      <w:pPr>
        <w:pStyle w:val="Compact"/>
        <w:numPr>
          <w:ilvl w:val="0"/>
          <w:numId w:val="550"/>
        </w:numPr>
        <w:rPr/>
      </w:pPr>
      <w:r>
        <w:rPr/>
        <w:t xml:space="preserve">Formulaires : </w:t>
      </w:r>
      <w:r>
        <w:rPr>
          <w:rStyle w:val="VerbatimChar"/>
        </w:rPr>
        <w:t>react-hook-form</w:t>
      </w:r>
      <w:r>
        <w:rPr/>
        <w:t xml:space="preserve"> + </w:t>
      </w:r>
      <w:r>
        <w:rPr>
          <w:rStyle w:val="VerbatimChar"/>
        </w:rPr>
        <w:t>yup</w:t>
      </w:r>
      <w:r>
        <w:rPr/>
        <w:t xml:space="preserve"> quand le formulaire dépasse quelques champs.</w:t>
      </w:r>
    </w:p>
    <w:p>
      <w:pPr>
        <w:pStyle w:val="Compact"/>
        <w:numPr>
          <w:ilvl w:val="0"/>
          <w:numId w:val="551"/>
        </w:numPr>
        <w:rPr/>
      </w:pPr>
      <w:r>
        <w:rPr/>
        <w:t xml:space="preserve">Libellés d’interface en français, cohérents avec le guide utilisateur (si vous renommez un bouton, mettez à jour </w:t>
      </w:r>
      <w:r>
        <w:rPr>
          <w:rStyle w:val="VerbatimChar"/>
        </w:rPr>
        <w:t>docs/guide/</w:t>
      </w:r>
      <w:r>
        <w:rPr/>
        <w:t>).</w:t>
      </w:r>
    </w:p>
    <w:p>
      <w:pPr>
        <w:pStyle w:val="Compact"/>
        <w:numPr>
          <w:ilvl w:val="0"/>
          <w:numId w:val="552"/>
        </w:numPr>
        <w:rPr/>
      </w:pPr>
      <w:r>
        <w:rPr/>
        <w:t xml:space="preserve">Pas de </w:t>
      </w:r>
      <w:r>
        <w:rPr>
          <w:rStyle w:val="VerbatimChar"/>
        </w:rPr>
        <w:t>alert()</w:t>
      </w:r>
      <w:r>
        <w:rPr/>
        <w:t xml:space="preserve"> pour une erreur serveur : </w:t>
      </w:r>
      <w:r>
        <w:rPr>
          <w:rStyle w:val="VerbatimChar"/>
        </w:rPr>
        <w:t>Snackbar</w:t>
      </w:r>
      <w:r>
        <w:rPr/>
        <w:t xml:space="preserve"> + </w:t>
      </w:r>
      <w:r>
        <w:rPr>
          <w:rStyle w:val="VerbatimChar"/>
        </w:rPr>
        <w:t>getApiErrorMessage</w:t>
      </w:r>
      <w:r>
        <w:rPr/>
        <w:t>.</w:t>
      </w:r>
    </w:p>
    <w:p>
      <w:pPr>
        <w:pStyle w:val="Compact"/>
        <w:numPr>
          <w:ilvl w:val="0"/>
          <w:numId w:val="553"/>
        </w:numPr>
        <w:rPr/>
      </w:pPr>
      <w:r>
        <w:rPr>
          <w:rStyle w:val="VerbatimChar"/>
        </w:rPr>
        <w:t>npm run lint</w:t>
      </w:r>
      <w:r>
        <w:rPr/>
        <w:t xml:space="preserve"> doit passer sans erreur. Configuration : </w:t>
      </w:r>
      <w:r>
        <w:rPr>
          <w:rStyle w:val="VerbatimChar"/>
        </w:rPr>
        <w:t>frontend/eslint.config.mjs</w:t>
      </w:r>
      <w:r>
        <w:rPr/>
        <w:t xml:space="preserve"> (</w:t>
      </w:r>
      <w:r>
        <w:rPr>
          <w:rStyle w:val="VerbatimChar"/>
        </w:rPr>
        <w:t>eslint-config-next</w:t>
      </w:r>
      <w:r>
        <w:rPr/>
        <w:t xml:space="preserve">) ; </w:t>
      </w:r>
      <w:r>
        <w:rPr>
          <w:rStyle w:val="VerbatimChar"/>
        </w:rPr>
        <w:t>react/no-unescaped-entities</w:t>
      </w:r>
      <w:r>
        <w:rPr/>
        <w:t xml:space="preserve"> est désactivée (apostrophes françaises) et </w:t>
      </w:r>
      <w:r>
        <w:rPr>
          <w:rStyle w:val="VerbatimChar"/>
        </w:rPr>
        <w:t>react-hooks/set-state-in-effect</w:t>
      </w:r>
      <w:r>
        <w:rPr/>
        <w:t xml:space="preserve"> est en avertissement, le temps de migrer les composants concernés : ne pas ajouter de nouveaux avertissements.</w:t>
      </w:r>
      <w:bookmarkEnd w:id="470"/>
    </w:p>
    <w:p>
      <w:pPr>
        <w:pStyle w:val="Heading3"/>
        <w:rPr/>
      </w:pPr>
      <w:bookmarkStart w:id="471" w:name="git"/>
      <w:r>
        <w:rPr/>
        <w:t>Git</w:t>
      </w:r>
    </w:p>
    <w:p>
      <w:pPr>
        <w:pStyle w:val="Compact"/>
        <w:numPr>
          <w:ilvl w:val="0"/>
          <w:numId w:val="554"/>
        </w:numPr>
        <w:rPr/>
      </w:pPr>
      <w:r>
        <w:rPr/>
        <w:t xml:space="preserve">Branche par sujet : </w:t>
      </w:r>
      <w:r>
        <w:rPr>
          <w:rStyle w:val="VerbatimChar"/>
        </w:rPr>
        <w:t>feature/bourses-externes</w:t>
      </w:r>
      <w:r>
        <w:rPr/>
        <w:t xml:space="preserve">, </w:t>
      </w:r>
      <w:r>
        <w:rPr>
          <w:rStyle w:val="VerbatimChar"/>
        </w:rPr>
        <w:t>fix/solde-portail</w:t>
      </w:r>
      <w:r>
        <w:rPr/>
        <w:t>.</w:t>
      </w:r>
    </w:p>
    <w:p>
      <w:pPr>
        <w:pStyle w:val="Compact"/>
        <w:numPr>
          <w:ilvl w:val="0"/>
          <w:numId w:val="555"/>
        </w:numPr>
        <w:rPr/>
      </w:pPr>
      <w:r>
        <w:rPr/>
        <w:t xml:space="preserve">Messages de commit à l’impératif, en français : </w:t>
      </w:r>
      <w:r>
        <w:rPr>
          <w:rStyle w:val="VerbatimChar"/>
        </w:rPr>
        <w:t>Corrige le calcul du solde avec réduction</w:t>
      </w:r>
      <w:r>
        <w:rPr/>
        <w:t>.</w:t>
      </w:r>
    </w:p>
    <w:p>
      <w:pPr>
        <w:pStyle w:val="Compact"/>
        <w:numPr>
          <w:ilvl w:val="0"/>
          <w:numId w:val="556"/>
        </w:numPr>
        <w:rPr/>
      </w:pPr>
      <w:r>
        <w:rPr/>
        <w:t>Une pull request = un sujet, avec : contexte, captures d’écran pour l’interface, tests ajoutés, impact migration / configuration.</w:t>
      </w:r>
    </w:p>
    <w:p>
      <w:pPr>
        <w:pStyle w:val="Compact"/>
        <w:numPr>
          <w:ilvl w:val="0"/>
          <w:numId w:val="557"/>
        </w:numPr>
        <w:rPr/>
      </w:pPr>
      <w:r>
        <w:rPr/>
        <w:t xml:space="preserve">Ne jamais committer : </w:t>
      </w:r>
      <w:r>
        <w:rPr>
          <w:rStyle w:val="VerbatimChar"/>
        </w:rPr>
        <w:t>.env</w:t>
      </w:r>
      <w:r>
        <w:rPr/>
        <w:t xml:space="preserve">, </w:t>
      </w:r>
      <w:r>
        <w:rPr>
          <w:rStyle w:val="VerbatimChar"/>
        </w:rPr>
        <w:t>db.sqlite3</w:t>
      </w:r>
      <w:r>
        <w:rPr/>
        <w:t xml:space="preserve">, </w:t>
      </w:r>
      <w:r>
        <w:rPr>
          <w:rStyle w:val="VerbatimChar"/>
        </w:rPr>
        <w:t>media/</w:t>
      </w:r>
      <w:r>
        <w:rPr/>
        <w:t xml:space="preserve">, </w:t>
      </w:r>
      <w:r>
        <w:rPr>
          <w:rStyle w:val="VerbatimChar"/>
        </w:rPr>
        <w:t>venv/</w:t>
      </w:r>
      <w:r>
        <w:rPr/>
        <w:t xml:space="preserve">, </w:t>
      </w:r>
      <w:r>
        <w:rPr>
          <w:rStyle w:val="VerbatimChar"/>
        </w:rPr>
        <w:t>node_modules/</w:t>
      </w:r>
      <w:r>
        <w:rPr/>
        <w:t xml:space="preserve">, </w:t>
      </w:r>
      <w:r>
        <w:rPr>
          <w:rStyle w:val="VerbatimChar"/>
        </w:rPr>
        <w:t>.next/</w:t>
      </w:r>
      <w:r>
        <w:rPr/>
        <w:t xml:space="preserve"> (voir </w:t>
      </w:r>
      <w:r>
        <w:rPr>
          <w:rStyle w:val="VerbatimChar"/>
        </w:rPr>
        <w:t>.gitignore</w:t>
      </w:r>
      <w:r>
        <w:rPr/>
        <w:t>).</w:t>
      </w:r>
      <w:bookmarkEnd w:id="471"/>
    </w:p>
    <w:p>
      <w:pPr>
        <w:pStyle w:val="Heading3"/>
        <w:rPr/>
      </w:pPr>
      <w:bookmarkStart w:id="472" w:name="revue-de-code-points-à-vérifier"/>
      <w:r>
        <w:rPr/>
        <w:t>Revue de code — points à vérifier</w:t>
      </w:r>
    </w:p>
    <w:p>
      <w:pPr>
        <w:pStyle w:val="Compact"/>
        <w:numPr>
          <w:ilvl w:val="0"/>
          <w:numId w:val="558"/>
        </w:numPr>
        <w:rPr/>
      </w:pPr>
      <w:r>
        <w:rPr/>
        <w:t>Les droits sont-ils vérifiés côté serveur ?</w:t>
      </w:r>
    </w:p>
    <w:p>
      <w:pPr>
        <w:pStyle w:val="Compact"/>
        <w:numPr>
          <w:ilvl w:val="0"/>
          <w:numId w:val="559"/>
        </w:numPr>
        <w:rPr/>
      </w:pPr>
      <w:r>
        <w:rPr/>
        <w:t>Une route de portail filtre-t-elle bien sur l’utilisateur connecté ?</w:t>
      </w:r>
    </w:p>
    <w:p>
      <w:pPr>
        <w:pStyle w:val="Compact"/>
        <w:numPr>
          <w:ilvl w:val="0"/>
          <w:numId w:val="560"/>
        </w:numPr>
        <w:rPr/>
      </w:pPr>
      <w:r>
        <w:rPr/>
        <w:t xml:space="preserve">Les calculs financiers passent-ils par </w:t>
      </w:r>
      <w:r>
        <w:rPr>
          <w:rStyle w:val="VerbatimChar"/>
        </w:rPr>
        <w:t>paiements/finance.py</w:t>
      </w:r>
      <w:r>
        <w:rPr/>
        <w:t xml:space="preserve"> ?</w:t>
      </w:r>
    </w:p>
    <w:p>
      <w:pPr>
        <w:pStyle w:val="Compact"/>
        <w:numPr>
          <w:ilvl w:val="0"/>
          <w:numId w:val="561"/>
        </w:numPr>
        <w:rPr/>
      </w:pPr>
      <w:r>
        <w:rPr/>
        <w:t>Y a-t-il une migration ? Est-elle réversible / sans perte ?</w:t>
      </w:r>
    </w:p>
    <w:p>
      <w:pPr>
        <w:pStyle w:val="Compact"/>
        <w:numPr>
          <w:ilvl w:val="0"/>
          <w:numId w:val="562"/>
        </w:numPr>
        <w:rPr/>
      </w:pPr>
      <w:r>
        <w:rPr/>
        <w:t>Un test couvre-t-il le changement ?</w:t>
      </w:r>
    </w:p>
    <w:p>
      <w:pPr>
        <w:pStyle w:val="Compact"/>
        <w:numPr>
          <w:ilvl w:val="0"/>
          <w:numId w:val="563"/>
        </w:numPr>
        <w:rPr/>
      </w:pPr>
      <w:bookmarkStart w:id="473" w:name="conventions-de-code"/>
      <w:bookmarkStart w:id="474" w:name="revue-de-code-points-à-vérifier"/>
      <w:r>
        <w:rPr/>
        <w:t>Le guide utilisateur est-il à jour ?</w:t>
      </w:r>
      <w:bookmarkEnd w:id="473"/>
      <w:bookmarkEnd w:id="474"/>
    </w:p>
    <w:p>
      <w:pPr>
        <w:pStyle w:val="Heading2"/>
        <w:rPr/>
      </w:pPr>
      <w:bookmarkStart w:id="475" w:name="__RefHeading___Toc15230_1458957718"/>
      <w:bookmarkStart w:id="476" w:name="référence-api"/>
      <w:bookmarkEnd w:id="475"/>
      <w:r>
        <w:rPr/>
        <w:t>Référence API</w:t>
      </w:r>
    </w:p>
    <w:p>
      <w:pPr>
        <w:pStyle w:val="Heading3"/>
        <w:rPr/>
      </w:pPr>
      <w:bookmarkStart w:id="477" w:name="documentation-interactive"/>
      <w:r>
        <w:rPr/>
        <w:t>Documentation interactive</w:t>
      </w:r>
    </w:p>
    <w:p>
      <w:pPr>
        <w:pStyle w:val="FirstParagraph"/>
        <w:rPr/>
      </w:pPr>
      <w:r>
        <w:rPr/>
        <w:t>Générée automatiquement à partir du code (drf-spectacular) :</w:t>
      </w:r>
    </w:p>
    <w:p>
      <w:pPr>
        <w:pStyle w:val="Compact"/>
        <w:numPr>
          <w:ilvl w:val="0"/>
          <w:numId w:val="564"/>
        </w:numPr>
        <w:rPr/>
      </w:pPr>
      <w:r>
        <w:rPr/>
        <w:t xml:space="preserve">Swagger : </w:t>
      </w:r>
      <w:r>
        <w:rPr>
          <w:rStyle w:val="VerbatimChar"/>
        </w:rPr>
        <w:t>/api/docs/</w:t>
      </w:r>
    </w:p>
    <w:p>
      <w:pPr>
        <w:pStyle w:val="Compact"/>
        <w:numPr>
          <w:ilvl w:val="0"/>
          <w:numId w:val="565"/>
        </w:numPr>
        <w:rPr/>
      </w:pPr>
      <w:r>
        <w:rPr/>
        <w:t xml:space="preserve">ReDoc : </w:t>
      </w:r>
      <w:r>
        <w:rPr>
          <w:rStyle w:val="VerbatimChar"/>
        </w:rPr>
        <w:t>/api/redoc/</w:t>
      </w:r>
    </w:p>
    <w:p>
      <w:pPr>
        <w:pStyle w:val="Compact"/>
        <w:numPr>
          <w:ilvl w:val="0"/>
          <w:numId w:val="566"/>
        </w:numPr>
        <w:rPr/>
      </w:pPr>
      <w:r>
        <w:rPr/>
        <w:t xml:space="preserve">Schéma OpenAPI : </w:t>
      </w:r>
      <w:r>
        <w:rPr>
          <w:rStyle w:val="VerbatimChar"/>
        </w:rPr>
        <w:t>/api/schema/</w:t>
      </w:r>
      <w:bookmarkEnd w:id="477"/>
    </w:p>
    <w:p>
      <w:pPr>
        <w:pStyle w:val="Heading3"/>
        <w:rPr/>
      </w:pPr>
      <w:bookmarkStart w:id="478" w:name="authentification"/>
      <w:r>
        <w:rPr/>
        <w:t>Authentification</w:t>
      </w:r>
    </w:p>
    <w:p>
      <w:pPr>
        <w:pStyle w:val="SourceCode"/>
        <w:rPr/>
      </w:pPr>
      <w:r>
        <w:rPr>
          <w:rStyle w:val="VerbatimChar"/>
        </w:rPr>
        <w:t>POST /api/auth/login/</w:t>
      </w:r>
      <w:r>
        <w:rPr/>
        <w:br/>
      </w:r>
      <w:r>
        <w:rPr>
          <w:rStyle w:val="VerbatimChar"/>
        </w:rPr>
        <w:t>Content-Type: application/json</w:t>
      </w:r>
      <w:r>
        <w:rPr/>
        <w:br/>
        <w:br/>
      </w:r>
      <w:r>
        <w:rPr>
          <w:rStyle w:val="VerbatimChar"/>
        </w:rPr>
        <w:t>{"username": "ngono.alice482", "password": "…", "recaptcha_token": "…"}</w:t>
      </w:r>
    </w:p>
    <w:p>
      <w:pPr>
        <w:pStyle w:val="FirstParagraph"/>
        <w:rPr/>
      </w:pPr>
      <w:r>
        <w:rPr/>
        <w:t xml:space="preserve">Réponse : </w:t>
      </w:r>
      <w:r>
        <w:rPr>
          <w:rStyle w:val="VerbatimChar"/>
        </w:rPr>
        <w:t>{"access": "&lt;jwt&gt;", "refresh": "&lt;jwt&gt;", …}</w:t>
      </w:r>
      <w:r>
        <w:rPr/>
        <w:t>. Le JWT contient le rôle et les droits (</w:t>
      </w:r>
      <w:r>
        <w:rPr>
          <w:rStyle w:val="VerbatimChar"/>
        </w:rPr>
        <w:t>permissions</w:t>
      </w:r>
      <w:r>
        <w:rPr/>
        <w:t>).</w:t>
      </w:r>
    </w:p>
    <w:p>
      <w:pPr>
        <w:pStyle w:val="BodyText"/>
        <w:rPr/>
      </w:pPr>
      <w:r>
        <w:rPr/>
        <w:t>Appels suivants :</w:t>
      </w:r>
    </w:p>
    <w:p>
      <w:pPr>
        <w:pStyle w:val="SourceCode"/>
        <w:rPr/>
      </w:pPr>
      <w:r>
        <w:rPr>
          <w:rStyle w:val="VerbatimChar"/>
        </w:rPr>
        <w:t>Authorization: Bearer &lt;access&gt;</w:t>
      </w:r>
      <w:r>
        <w:rPr/>
        <w:br/>
      </w:r>
      <w:r>
        <w:rPr>
          <w:rStyle w:val="VerbatimChar"/>
        </w:rPr>
        <w:t>X-Academic-Year: &lt;id de l'année&gt;     # facultatif ; année active par défaut</w:t>
      </w:r>
    </w:p>
    <w:p>
      <w:pPr>
        <w:pStyle w:val="FirstParagraph"/>
        <w:rPr/>
      </w:pPr>
      <w:r>
        <w:rPr/>
        <w:t xml:space="preserve">Renouvellement : </w:t>
      </w:r>
      <w:r>
        <w:rPr>
          <w:rStyle w:val="VerbatimChar"/>
        </w:rPr>
        <w:t>POST /api/auth/token/refresh/</w:t>
      </w:r>
      <w:r>
        <w:rPr/>
        <w:t xml:space="preserve"> avec </w:t>
      </w:r>
      <w:r>
        <w:rPr>
          <w:rStyle w:val="VerbatimChar"/>
        </w:rPr>
        <w:t>{"refresh": "&lt;jwt&gt;"}</w:t>
      </w:r>
      <w:r>
        <w:rPr/>
        <w:t>.</w:t>
      </w:r>
    </w:p>
    <w:p>
      <w:pPr>
        <w:pStyle w:val="BodyText"/>
        <w:rPr/>
      </w:pPr>
      <w:r>
        <w:rPr/>
        <w:t>Durées : accès 16 h, rafraîchissement 1 jour (</w:t>
      </w:r>
      <w:r>
        <w:rPr>
          <w:rStyle w:val="VerbatimChar"/>
        </w:rPr>
        <w:t>SIMPLE_JWT</w:t>
      </w:r>
      <w:r>
        <w:rPr/>
        <w:t xml:space="preserve"> dans </w:t>
      </w:r>
      <w:r>
        <w:rPr>
          <w:rStyle w:val="VerbatimChar"/>
        </w:rPr>
        <w:t>settings.py</w:t>
      </w:r>
      <w:r>
        <w:rPr/>
        <w:t>).</w:t>
      </w:r>
      <w:bookmarkEnd w:id="478"/>
    </w:p>
    <w:p>
      <w:pPr>
        <w:pStyle w:val="Heading3"/>
        <w:rPr/>
      </w:pPr>
      <w:r>
        <w:rPr/>
        <w:t>Codes de réponse</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1237"/>
        <w:gridCol w:w="8400"/>
      </w:tblGrid>
      <w:tr>
        <w:trPr>
          <w:tblHeader w:val="true"/>
          <w:cantSplit w:val="true"/>
        </w:trPr>
        <w:tc>
          <w:tcPr>
            <w:tcW w:w="1237"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Code</w:t>
            </w:r>
          </w:p>
        </w:tc>
        <w:tc>
          <w:tcPr>
            <w:tcW w:w="8400"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Signification</w:t>
            </w:r>
          </w:p>
        </w:tc>
      </w:tr>
      <w:tr>
        <w:trPr>
          <w:cantSplit w:val="true"/>
        </w:trPr>
        <w:tc>
          <w:tcPr>
            <w:tcW w:w="1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200 / 201 / 204</w:t>
            </w:r>
          </w:p>
        </w:tc>
        <w:tc>
          <w:tcPr>
            <w:tcW w:w="84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Succès</w:t>
            </w:r>
          </w:p>
        </w:tc>
      </w:tr>
      <w:tr>
        <w:trPr>
          <w:cantSplit w:val="true"/>
        </w:trPr>
        <w:tc>
          <w:tcPr>
            <w:tcW w:w="1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400</w:t>
            </w:r>
          </w:p>
        </w:tc>
        <w:tc>
          <w:tcPr>
            <w:tcW w:w="84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Données invalides : le corps indique le champ (</w:t>
            </w:r>
            <w:r>
              <w:rPr>
                <w:rStyle w:val="VerbatimChar"/>
                <w:rFonts w:eastAsia="Calibri" w:cs="Calibri"/>
                <w:kern w:val="0"/>
                <w:lang w:val="fr-FR" w:eastAsia="en-US" w:bidi="ar-SA"/>
              </w:rPr>
              <w:t>{"note_cc": ["…"]}</w:t>
            </w:r>
            <w:r>
              <w:rPr>
                <w:rFonts w:eastAsia="Calibri" w:cs="Calibri"/>
                <w:kern w:val="0"/>
                <w:sz w:val="19"/>
                <w:szCs w:val="19"/>
                <w:lang w:val="fr-FR" w:eastAsia="en-US" w:bidi="ar-SA"/>
              </w:rPr>
              <w:t xml:space="preserve">) ou </w:t>
            </w:r>
            <w:r>
              <w:rPr>
                <w:rStyle w:val="VerbatimChar"/>
                <w:rFonts w:eastAsia="Calibri" w:cs="Calibri"/>
                <w:kern w:val="0"/>
                <w:lang w:val="fr-FR" w:eastAsia="en-US" w:bidi="ar-SA"/>
              </w:rPr>
              <w:t>non_field_errors</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error</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detail</w:t>
            </w:r>
          </w:p>
        </w:tc>
      </w:tr>
      <w:tr>
        <w:trPr>
          <w:cantSplit w:val="true"/>
        </w:trPr>
        <w:tc>
          <w:tcPr>
            <w:tcW w:w="1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401</w:t>
            </w:r>
          </w:p>
        </w:tc>
        <w:tc>
          <w:tcPr>
            <w:tcW w:w="84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Jeton absent, invalide ou expiré</w:t>
            </w:r>
          </w:p>
        </w:tc>
      </w:tr>
      <w:tr>
        <w:trPr>
          <w:cantSplit w:val="true"/>
        </w:trPr>
        <w:tc>
          <w:tcPr>
            <w:tcW w:w="1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403</w:t>
            </w:r>
          </w:p>
        </w:tc>
        <w:tc>
          <w:tcPr>
            <w:tcW w:w="84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Droit insuffisant, route hors portail, ou année archivée</w:t>
            </w:r>
          </w:p>
        </w:tc>
      </w:tr>
      <w:tr>
        <w:trPr>
          <w:cantSplit w:val="true"/>
        </w:trPr>
        <w:tc>
          <w:tcPr>
            <w:tcW w:w="1237"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404</w:t>
            </w:r>
          </w:p>
        </w:tc>
        <w:tc>
          <w:tcPr>
            <w:tcW w:w="8400"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Ressource inexistante ou hors de votre périmètre</w:t>
            </w:r>
            <w:bookmarkStart w:id="479" w:name="codes-de-réponse"/>
            <w:bookmarkEnd w:id="479"/>
          </w:p>
        </w:tc>
      </w:tr>
    </w:tbl>
    <w:p>
      <w:pPr>
        <w:pStyle w:val="Heading3"/>
        <w:rPr/>
      </w:pPr>
      <w:r>
        <w:rPr/>
        <w:t>Principaux endpoints</w:t>
      </w:r>
    </w:p>
    <w:tbl>
      <w:tblPr>
        <w:tblStyle w:val="Table"/>
        <w:tblW w:w="9638" w:type="dxa"/>
        <w:jc w:val="left"/>
        <w:tblInd w:w="105" w:type="dxa"/>
        <w:tblLayout w:type="fixed"/>
        <w:tblCellMar>
          <w:top w:w="50" w:type="dxa"/>
          <w:left w:w="100" w:type="dxa"/>
          <w:bottom w:w="50" w:type="dxa"/>
          <w:right w:w="100" w:type="dxa"/>
        </w:tblCellMar>
        <w:tblLook w:val="0020" w:noHBand="0" w:noVBand="0" w:firstColumn="0" w:lastRow="0" w:lastColumn="0" w:firstRow="1"/>
      </w:tblPr>
      <w:tblGrid>
        <w:gridCol w:w="2134"/>
        <w:gridCol w:w="7503"/>
      </w:tblGrid>
      <w:tr>
        <w:trPr>
          <w:tblHeader w:val="true"/>
          <w:cantSplit w:val="true"/>
        </w:trPr>
        <w:tc>
          <w:tcPr>
            <w:tcW w:w="2134"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Domaine</w:t>
            </w:r>
          </w:p>
        </w:tc>
        <w:tc>
          <w:tcPr>
            <w:tcW w:w="7503" w:type="dxa"/>
            <w:tcBorders/>
            <w:shd w:color="auto" w:fill="2F5496" w:val="clear"/>
            <w:vAlign w:val="center"/>
          </w:tcPr>
          <w:p>
            <w:pPr>
              <w:pStyle w:val="Compact"/>
              <w:keepNext w:val="true"/>
              <w:widowControl/>
              <w:spacing w:lineRule="auto" w:line="264" w:before="30" w:after="30"/>
              <w:jc w:val="left"/>
              <w:rPr>
                <w:rFonts w:ascii="Calibri" w:hAnsi="Calibri" w:eastAsia="Calibri" w:cs="Calibri"/>
                <w:b/>
                <w:color w:val="FFFFFF"/>
                <w:kern w:val="0"/>
                <w:sz w:val="19"/>
                <w:szCs w:val="19"/>
                <w:lang w:val="fr-FR" w:eastAsia="en-US" w:bidi="ar-SA"/>
              </w:rPr>
            </w:pPr>
            <w:r>
              <w:rPr>
                <w:rFonts w:eastAsia="Calibri" w:cs="Calibri"/>
                <w:b/>
                <w:color w:val="FFFFFF"/>
                <w:kern w:val="0"/>
                <w:sz w:val="19"/>
                <w:szCs w:val="19"/>
                <w:lang w:val="fr-FR" w:eastAsia="en-US" w:bidi="ar-SA"/>
              </w:rPr>
              <w:t>Endpoints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Comptes</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/api/auth/</w:t>
            </w:r>
            <w:r>
              <w:rPr>
                <w:rFonts w:eastAsia="Calibri" w:cs="Calibri"/>
                <w:kern w:val="0"/>
                <w:sz w:val="19"/>
                <w:szCs w:val="19"/>
                <w:lang w:val="fr-FR" w:eastAsia="en-US" w:bidi="ar-SA"/>
              </w:rPr>
              <w:t xml:space="preserve"> (CRUD admin), </w:t>
            </w:r>
            <w:r>
              <w:rPr>
                <w:rStyle w:val="VerbatimChar"/>
                <w:rFonts w:eastAsia="Calibri" w:cs="Calibri"/>
                <w:kern w:val="0"/>
                <w:lang w:val="fr-FR" w:eastAsia="en-US" w:bidi="ar-SA"/>
              </w:rPr>
              <w:t>/api/auth/{id}/reset-password/</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/api/auth/roles/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Structure</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/api/v2/filieres/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specialites/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cycles/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cycles-globaux/</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levels/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classes/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annees-academiques/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semestres/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parametres-globaux/</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configuration-etablissement/current/</w:t>
            </w:r>
            <w:r>
              <w:rPr>
                <w:rFonts w:eastAsia="Calibri" w:cs="Calibri"/>
                <w:kern w:val="0"/>
                <w:sz w:val="19"/>
                <w:szCs w:val="19"/>
                <w:lang w:val="fr-FR" w:eastAsia="en-US" w:bidi="ar-SA"/>
              </w:rPr>
              <w:t xml:space="preserve"> ; salles : </w:t>
            </w:r>
            <w:r>
              <w:rPr>
                <w:rStyle w:val="VerbatimChar"/>
                <w:rFonts w:eastAsia="Calibri" w:cs="Calibri"/>
                <w:kern w:val="0"/>
                <w:lang w:val="fr-FR" w:eastAsia="en-US" w:bidi="ar-SA"/>
              </w:rPr>
              <w:t>/api/salles/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Préinscription</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POST /api/v2/pre-inscriptions/</w:t>
            </w:r>
            <w:r>
              <w:rPr>
                <w:rFonts w:eastAsia="Calibri" w:cs="Calibri"/>
                <w:kern w:val="0"/>
                <w:sz w:val="19"/>
                <w:szCs w:val="19"/>
                <w:lang w:val="fr-FR" w:eastAsia="en-US" w:bidi="ar-SA"/>
              </w:rPr>
              <w:t xml:space="preserve"> (public), </w:t>
            </w:r>
            <w:r>
              <w:rPr>
                <w:rStyle w:val="VerbatimChar"/>
                <w:rFonts w:eastAsia="Calibri" w:cs="Calibri"/>
                <w:kern w:val="0"/>
                <w:lang w:val="fr-FR" w:eastAsia="en-US" w:bidi="ar-SA"/>
              </w:rPr>
              <w:t>…/{id}/approve/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…/{id}/reject/</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Étudiants</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/api/etudiants/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/api/etudiants/me/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me/situation/</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me/history/</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portal/carte-etudiant/</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portal/certificat-scolarite/</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Formateurs</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/api/formateurs/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/api/formateurs/portal/{me,dashboard,mes-classes,mon-emploi-du-temps,mes-notes,mon-suivi,mes-epreuves}/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Emploi du temps</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/api/emploi-du-temps/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…/me/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/api/emploi-du-temps-documents/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Notes</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/api/notes/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saisie-groupee/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batch-save/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valider/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devalider/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rattrapages/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me/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{id}/releve-notes/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Scolarité</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/api/paiements/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aggregated/</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me/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plans/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alerts/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dashboard/</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/api/v2/frais/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Paie</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/api/paie/campagnes/</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generer/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{id}/valider/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{id}/payer/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bulletins/</w:t>
            </w:r>
            <w:r>
              <w:rPr>
                <w:rFonts w:eastAsia="Calibri" w:cs="Calibri"/>
                <w:kern w:val="0"/>
                <w:sz w:val="19"/>
                <w:szCs w:val="19"/>
                <w:lang w:val="fr-FR" w:eastAsia="en-US" w:bidi="ar-SA"/>
              </w:rPr>
              <w:t>, primes, retenues, avances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Vacations</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/api/vacations/coordonnateur/…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pointages/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recaps/</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{id}/valider/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{id}/rejeter/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mes-heures/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RH</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/api/personnels/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/api/conges/</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Logistique</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/api/inventaires/articles/</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ajouter_stock/</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exemplaires/</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attribuer/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retourner/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/api/demandes/</w:t>
            </w:r>
            <w:r>
              <w:rPr>
                <w:rFonts w:eastAsia="Calibri" w:cs="Calibri"/>
                <w:kern w:val="0"/>
                <w:sz w:val="19"/>
                <w:szCs w:val="19"/>
                <w:lang w:val="fr-FR" w:eastAsia="en-US" w:bidi="ar-SA"/>
              </w:rPr>
              <w:t xml:space="preserve"> (+ </w:t>
            </w:r>
            <w:r>
              <w:rPr>
                <w:rStyle w:val="VerbatimChar"/>
                <w:rFonts w:eastAsia="Calibri" w:cs="Calibri"/>
                <w:kern w:val="0"/>
                <w:lang w:val="fr-FR" w:eastAsia="en-US" w:bidi="ar-SA"/>
              </w:rPr>
              <w:t>soumettre/</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approuver/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refuser/</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livrer/</w:t>
            </w:r>
            <w:r>
              <w:rPr>
                <w:rFonts w:eastAsia="Calibri" w:cs="Calibri"/>
                <w:kern w:val="0"/>
                <w:sz w:val="19"/>
                <w:szCs w:val="19"/>
                <w:lang w:val="fr-FR" w:eastAsia="en-US" w:bidi="ar-SA"/>
              </w:rPr>
              <w:t>)</w:t>
            </w:r>
          </w:p>
        </w:tc>
      </w:tr>
      <w:tr>
        <w:trPr>
          <w:cantSplit w:val="true"/>
        </w:trPr>
        <w:tc>
          <w:tcPr>
            <w:tcW w:w="2134"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Fonts w:eastAsia="Calibri" w:cs="Calibri"/>
                <w:kern w:val="0"/>
                <w:sz w:val="19"/>
                <w:szCs w:val="19"/>
                <w:lang w:val="fr-FR" w:eastAsia="en-US" w:bidi="ar-SA"/>
              </w:rPr>
              <w:t>Trésorerie</w:t>
            </w:r>
          </w:p>
        </w:tc>
        <w:tc>
          <w:tcPr>
            <w:tcW w:w="7503" w:type="dxa"/>
            <w:tcBorders/>
          </w:tcPr>
          <w:p>
            <w:pPr>
              <w:pStyle w:val="Compact"/>
              <w:widowControl/>
              <w:spacing w:lineRule="auto" w:line="264" w:before="30" w:after="30"/>
              <w:jc w:val="left"/>
              <w:rPr>
                <w:rFonts w:ascii="Calibri" w:hAnsi="Calibri" w:eastAsia="Calibri" w:cs="Calibri"/>
                <w:kern w:val="0"/>
                <w:sz w:val="19"/>
                <w:szCs w:val="19"/>
                <w:lang w:val="fr-FR" w:eastAsia="en-US" w:bidi="ar-SA"/>
              </w:rPr>
            </w:pPr>
            <w:r>
              <w:rPr>
                <w:rStyle w:val="VerbatimChar"/>
                <w:rFonts w:eastAsia="Calibri" w:cs="Calibri"/>
                <w:kern w:val="0"/>
                <w:lang w:val="fr-FR" w:eastAsia="en-US" w:bidi="ar-SA"/>
              </w:rPr>
              <w:t>/api/revenus/</w:t>
            </w:r>
            <w:r>
              <w:rPr>
                <w:rFonts w:eastAsia="Calibri" w:cs="Calibri"/>
                <w:kern w:val="0"/>
                <w:sz w:val="19"/>
                <w:szCs w:val="19"/>
                <w:lang w:val="fr-FR" w:eastAsia="en-US" w:bidi="ar-SA"/>
              </w:rPr>
              <w:t xml:space="preserve">, </w:t>
            </w:r>
            <w:r>
              <w:rPr>
                <w:rStyle w:val="VerbatimChar"/>
                <w:rFonts w:eastAsia="Calibri" w:cs="Calibri"/>
                <w:kern w:val="0"/>
                <w:lang w:val="fr-FR" w:eastAsia="en-US" w:bidi="ar-SA"/>
              </w:rPr>
              <w:t>/api/depenses/</w:t>
            </w:r>
          </w:p>
        </w:tc>
      </w:tr>
    </w:tbl>
    <w:p>
      <w:pPr>
        <w:pStyle w:val="BodyText"/>
        <w:rPr/>
      </w:pPr>
      <w:bookmarkStart w:id="480" w:name="référence-api"/>
      <w:r>
        <w:rPr/>
        <w:t>La liste exhaustive et les schémas de données sont dans Swagger.</w:t>
      </w:r>
      <w:bookmarkEnd w:id="480"/>
    </w:p>
    <w:p>
      <w:pPr>
        <w:pStyle w:val="Heading2"/>
        <w:rPr/>
      </w:pPr>
      <w:bookmarkStart w:id="481" w:name="__RefHeading___Toc15232_1458957718"/>
      <w:bookmarkStart w:id="482" w:name="contribuer-à-smartcampus"/>
      <w:bookmarkEnd w:id="481"/>
      <w:r>
        <w:rPr/>
        <w:t>Contribuer à SmartCampus</w:t>
      </w:r>
    </w:p>
    <w:p>
      <w:pPr>
        <w:pStyle w:val="FirstParagraph"/>
        <w:rPr/>
      </w:pPr>
      <w:r>
        <w:rPr/>
        <w:t xml:space="preserve">Merci de lire ce guide avant votre première contribution. La documentation détaillée est dans </w:t>
      </w:r>
      <w:r>
        <w:rPr>
          <w:rStyle w:val="VerbatimChar"/>
        </w:rPr>
        <w:t>docs/developpeurs/</w:t>
      </w:r>
      <w:r>
        <w:rPr/>
        <w:t>.</w:t>
      </w:r>
    </w:p>
    <w:p>
      <w:pPr>
        <w:pStyle w:val="Heading3"/>
        <w:rPr/>
      </w:pPr>
      <w:bookmarkStart w:id="483" w:name="préparer-son-poste"/>
      <w:r>
        <w:rPr/>
        <w:t>1. Préparer son poste</w:t>
      </w:r>
    </w:p>
    <w:p>
      <w:pPr>
        <w:pStyle w:val="FirstParagraph"/>
        <w:rPr/>
      </w:pPr>
      <w:r>
        <w:rPr/>
        <w:t>Suivez l’installation locale. Vérifiez que tout est vert avant de commencer :</w:t>
      </w:r>
    </w:p>
    <w:p>
      <w:pPr>
        <w:pStyle w:val="SourceCode"/>
        <w:rPr/>
      </w:pPr>
      <w:r>
        <w:rPr>
          <w:rStyle w:val="BuiltInTok"/>
        </w:rPr>
        <w:t>cd</w:t>
      </w:r>
      <w:r>
        <w:rPr>
          <w:rStyle w:val="NormalTok"/>
        </w:rPr>
        <w:t xml:space="preserve"> back-istc </w:t>
      </w:r>
      <w:r>
        <w:rPr>
          <w:rStyle w:val="KeywordTok"/>
        </w:rPr>
        <w:t>&amp;&amp;</w:t>
      </w:r>
      <w:r>
        <w:rPr>
          <w:rStyle w:val="NormalTok"/>
        </w:rPr>
        <w:t xml:space="preserve"> </w:t>
      </w:r>
      <w:r>
        <w:rPr>
          <w:rStyle w:val="ExtensionTok"/>
        </w:rPr>
        <w:t>python</w:t>
      </w:r>
      <w:r>
        <w:rPr>
          <w:rStyle w:val="NormalTok"/>
        </w:rPr>
        <w:t xml:space="preserve"> </w:t>
      </w:r>
      <w:r>
        <w:rPr>
          <w:rStyle w:val="AttributeTok"/>
        </w:rPr>
        <w:t>-m</w:t>
      </w:r>
      <w:r>
        <w:rPr>
          <w:rStyle w:val="NormalTok"/>
        </w:rPr>
        <w:t xml:space="preserve"> pytest </w:t>
      </w:r>
      <w:r>
        <w:rPr>
          <w:rStyle w:val="AttributeTok"/>
        </w:rPr>
        <w:t>-q</w:t>
      </w:r>
      <w:r>
        <w:rPr/>
        <w:br/>
      </w:r>
      <w:r>
        <w:rPr>
          <w:rStyle w:val="BuiltInTok"/>
        </w:rPr>
        <w:t>cd</w:t>
      </w:r>
      <w:r>
        <w:rPr>
          <w:rStyle w:val="NormalTok"/>
        </w:rPr>
        <w:t xml:space="preserve"> frontend </w:t>
      </w:r>
      <w:r>
        <w:rPr>
          <w:rStyle w:val="KeywordTok"/>
        </w:rPr>
        <w:t>&amp;&amp;</w:t>
      </w:r>
      <w:r>
        <w:rPr>
          <w:rStyle w:val="NormalTok"/>
        </w:rPr>
        <w:t xml:space="preserve"> </w:t>
      </w:r>
      <w:r>
        <w:rPr>
          <w:rStyle w:val="ExtensionTok"/>
        </w:rPr>
        <w:t>npm</w:t>
      </w:r>
      <w:r>
        <w:rPr>
          <w:rStyle w:val="NormalTok"/>
        </w:rPr>
        <w:t xml:space="preserve"> run lint</w:t>
      </w:r>
      <w:bookmarkEnd w:id="483"/>
    </w:p>
    <w:p>
      <w:pPr>
        <w:pStyle w:val="Heading3"/>
        <w:rPr/>
      </w:pPr>
      <w:bookmarkStart w:id="484" w:name="travailler-sur-une-branche"/>
      <w:r>
        <w:rPr/>
        <w:t>2. Travailler sur une branche</w:t>
      </w:r>
    </w:p>
    <w:p>
      <w:pPr>
        <w:pStyle w:val="SourceCode"/>
        <w:rPr/>
      </w:pPr>
      <w:r>
        <w:rPr>
          <w:rStyle w:val="FunctionTok"/>
        </w:rPr>
        <w:t>git</w:t>
      </w:r>
      <w:r>
        <w:rPr>
          <w:rStyle w:val="NormalTok"/>
        </w:rPr>
        <w:t xml:space="preserve"> checkout </w:t>
      </w:r>
      <w:r>
        <w:rPr>
          <w:rStyle w:val="AttributeTok"/>
        </w:rPr>
        <w:t>-b</w:t>
      </w:r>
      <w:r>
        <w:rPr>
          <w:rStyle w:val="NormalTok"/>
        </w:rPr>
        <w:t xml:space="preserve"> feature/</w:t>
      </w:r>
      <w:r>
        <w:rPr>
          <w:rStyle w:val="OperatorTok"/>
        </w:rPr>
        <w:t>&lt;</w:t>
      </w:r>
      <w:r>
        <w:rPr>
          <w:rStyle w:val="NormalTok"/>
        </w:rPr>
        <w:t>sujet</w:t>
      </w:r>
      <w:r>
        <w:rPr>
          <w:rStyle w:val="OperatorTok"/>
        </w:rPr>
        <w:t>&gt;</w:t>
      </w:r>
      <w:r>
        <w:rPr>
          <w:rStyle w:val="NormalTok"/>
        </w:rPr>
        <w:t xml:space="preserve">      # ou fix/</w:t>
      </w:r>
      <w:r>
        <w:rPr>
          <w:rStyle w:val="OperatorTok"/>
        </w:rPr>
        <w:t>&lt;</w:t>
      </w:r>
      <w:r>
        <w:rPr>
          <w:rStyle w:val="NormalTok"/>
        </w:rPr>
        <w:t>sujet</w:t>
      </w:r>
      <w:r>
        <w:rPr>
          <w:rStyle w:val="OperatorTok"/>
        </w:rPr>
        <w:t>&gt;</w:t>
      </w:r>
      <w:bookmarkEnd w:id="484"/>
    </w:p>
    <w:p>
      <w:pPr>
        <w:pStyle w:val="Heading3"/>
        <w:rPr/>
      </w:pPr>
      <w:bookmarkStart w:id="485" w:name="règles-essentielles"/>
      <w:r>
        <w:rPr/>
        <w:t>3. Règles essentielles</w:t>
      </w:r>
    </w:p>
    <w:p>
      <w:pPr>
        <w:pStyle w:val="Compact"/>
        <w:numPr>
          <w:ilvl w:val="0"/>
          <w:numId w:val="567"/>
        </w:numPr>
        <w:rPr/>
      </w:pPr>
      <w:r>
        <w:rPr>
          <w:b/>
          <w:bCs/>
        </w:rPr>
        <w:t>Les droits se vérifient côté serveur.</w:t>
      </w:r>
      <w:r>
        <w:rPr/>
        <w:t xml:space="preserve"> Le masquage d’un bouton n’est pas une sécurité. Toute nouvelle route d’API reçoit sa règle dans </w:t>
      </w:r>
      <w:r>
        <w:rPr>
          <w:rStyle w:val="VerbatimChar"/>
        </w:rPr>
        <w:t>REGLES</w:t>
      </w:r>
      <w:r>
        <w:rPr/>
        <w:t xml:space="preserve"> (</w:t>
      </w:r>
      <w:r>
        <w:rPr>
          <w:rStyle w:val="VerbatimChar"/>
        </w:rPr>
        <w:t>back-istc/users/acces_personnel.py</w:t>
      </w:r>
      <w:r>
        <w:rPr/>
        <w:t>) ; sans règle, elle est réservée aux administrateurs.</w:t>
      </w:r>
    </w:p>
    <w:p>
      <w:pPr>
        <w:pStyle w:val="Compact"/>
        <w:numPr>
          <w:ilvl w:val="0"/>
          <w:numId w:val="568"/>
        </w:numPr>
        <w:rPr/>
      </w:pPr>
      <w:r>
        <w:rPr>
          <w:b/>
          <w:bCs/>
        </w:rPr>
        <w:t>Toute route utilisée par un portail</w:t>
      </w:r>
      <w:r>
        <w:rPr/>
        <w:t xml:space="preserve"> (étudiant / formateur) doit être ajoutée à </w:t>
      </w:r>
      <w:r>
        <w:rPr>
          <w:rStyle w:val="VerbatimChar"/>
        </w:rPr>
        <w:t>PORTAL_RULES</w:t>
      </w:r>
      <w:r>
        <w:rPr/>
        <w:t xml:space="preserve"> (</w:t>
      </w:r>
      <w:r>
        <w:rPr>
          <w:rStyle w:val="VerbatimChar"/>
        </w:rPr>
        <w:t>back-istc/users/middleware.py</w:t>
      </w:r>
      <w:r>
        <w:rPr/>
        <w:t xml:space="preserve">) </w:t>
      </w:r>
      <w:r>
        <w:rPr>
          <w:b/>
          <w:bCs/>
        </w:rPr>
        <w:t>et</w:t>
      </w:r>
      <w:r>
        <w:rPr/>
        <w:t xml:space="preserve"> filtrer les données sur l’utilisateur connecté. Voir Permissions.</w:t>
      </w:r>
    </w:p>
    <w:p>
      <w:pPr>
        <w:pStyle w:val="Compact"/>
        <w:numPr>
          <w:ilvl w:val="0"/>
          <w:numId w:val="569"/>
        </w:numPr>
        <w:rPr/>
      </w:pPr>
      <w:r>
        <w:rPr>
          <w:b/>
          <w:bCs/>
        </w:rPr>
        <w:t>Une règle métier = un seul endroit</w:t>
      </w:r>
      <w:r>
        <w:rPr/>
        <w:t xml:space="preserve"> (modèle ou service). Les calculs de scolarité passent par </w:t>
      </w:r>
      <w:r>
        <w:rPr>
          <w:rStyle w:val="VerbatimChar"/>
        </w:rPr>
        <w:t>paiements/finance.py</w:t>
      </w:r>
      <w:r>
        <w:rPr/>
        <w:t>.</w:t>
      </w:r>
    </w:p>
    <w:p>
      <w:pPr>
        <w:pStyle w:val="Compact"/>
        <w:numPr>
          <w:ilvl w:val="0"/>
          <w:numId w:val="570"/>
        </w:numPr>
        <w:rPr/>
      </w:pPr>
      <w:r>
        <w:rPr>
          <w:b/>
          <w:bCs/>
        </w:rPr>
        <w:t xml:space="preserve">Montants en </w:t>
      </w:r>
      <w:r>
        <w:rPr>
          <w:rStyle w:val="VerbatimChar"/>
          <w:b/>
          <w:bCs/>
        </w:rPr>
        <w:t>Decimal</w:t>
      </w:r>
      <w:r>
        <w:rPr/>
        <w:t xml:space="preserve">, opérations multi-tables dans </w:t>
      </w:r>
      <w:r>
        <w:rPr>
          <w:rStyle w:val="VerbatimChar"/>
        </w:rPr>
        <w:t>transaction.atomic()</w:t>
      </w:r>
      <w:r>
        <w:rPr/>
        <w:t>.</w:t>
      </w:r>
    </w:p>
    <w:p>
      <w:pPr>
        <w:pStyle w:val="Compact"/>
        <w:numPr>
          <w:ilvl w:val="0"/>
          <w:numId w:val="571"/>
        </w:numPr>
        <w:rPr/>
      </w:pPr>
      <w:r>
        <w:rPr>
          <w:b/>
          <w:bCs/>
        </w:rPr>
        <w:t>Chaque changement de modèle</w:t>
      </w:r>
      <w:r>
        <w:rPr/>
        <w:t xml:space="preserve"> est livré avec sa migration (</w:t>
      </w:r>
      <w:r>
        <w:rPr>
          <w:rStyle w:val="VerbatimChar"/>
        </w:rPr>
        <w:t>python manage.py makemigrations</w:t>
      </w:r>
      <w:r>
        <w:rPr/>
        <w:t>).</w:t>
      </w:r>
    </w:p>
    <w:p>
      <w:pPr>
        <w:pStyle w:val="Compact"/>
        <w:numPr>
          <w:ilvl w:val="0"/>
          <w:numId w:val="572"/>
        </w:numPr>
        <w:rPr/>
      </w:pPr>
      <w:r>
        <w:rPr>
          <w:b/>
          <w:bCs/>
        </w:rPr>
        <w:t>Chaque correction de bug</w:t>
      </w:r>
      <w:r>
        <w:rPr/>
        <w:t xml:space="preserve"> est livrée avec un test qui échouait avant.</w:t>
      </w:r>
    </w:p>
    <w:p>
      <w:pPr>
        <w:pStyle w:val="Compact"/>
        <w:numPr>
          <w:ilvl w:val="0"/>
          <w:numId w:val="573"/>
        </w:numPr>
        <w:rPr/>
      </w:pPr>
      <w:r>
        <w:rPr>
          <w:b/>
          <w:bCs/>
        </w:rPr>
        <w:t>Chaque changement visible</w:t>
      </w:r>
      <w:r>
        <w:rPr/>
        <w:t xml:space="preserve"> par les utilisateurs met à jour le guide (</w:t>
      </w:r>
      <w:r>
        <w:rPr>
          <w:rStyle w:val="VerbatimChar"/>
        </w:rPr>
        <w:t>docs/guide/</w:t>
      </w:r>
      <w:r>
        <w:rPr/>
        <w:t>) avec les libellés exacts de l’écran.</w:t>
      </w:r>
    </w:p>
    <w:p>
      <w:pPr>
        <w:pStyle w:val="Compact"/>
        <w:numPr>
          <w:ilvl w:val="0"/>
          <w:numId w:val="574"/>
        </w:numPr>
        <w:rPr/>
      </w:pPr>
      <w:r>
        <w:rPr/>
        <w:t xml:space="preserve">Ne committez jamais </w:t>
      </w:r>
      <w:r>
        <w:rPr>
          <w:rStyle w:val="VerbatimChar"/>
        </w:rPr>
        <w:t>.env</w:t>
      </w:r>
      <w:r>
        <w:rPr/>
        <w:t xml:space="preserve">, </w:t>
      </w:r>
      <w:r>
        <w:rPr>
          <w:rStyle w:val="VerbatimChar"/>
        </w:rPr>
        <w:t>db.sqlite3</w:t>
      </w:r>
      <w:r>
        <w:rPr/>
        <w:t xml:space="preserve">, </w:t>
      </w:r>
      <w:r>
        <w:rPr>
          <w:rStyle w:val="VerbatimChar"/>
        </w:rPr>
        <w:t>media/</w:t>
      </w:r>
      <w:r>
        <w:rPr/>
        <w:t xml:space="preserve">, </w:t>
      </w:r>
      <w:r>
        <w:rPr>
          <w:rStyle w:val="VerbatimChar"/>
        </w:rPr>
        <w:t>venv/</w:t>
      </w:r>
      <w:r>
        <w:rPr/>
        <w:t xml:space="preserve">, </w:t>
      </w:r>
      <w:r>
        <w:rPr>
          <w:rStyle w:val="VerbatimChar"/>
        </w:rPr>
        <w:t>node_modules/</w:t>
      </w:r>
      <w:r>
        <w:rPr/>
        <w:t>.</w:t>
      </w:r>
      <w:bookmarkEnd w:id="485"/>
    </w:p>
    <w:p>
      <w:pPr>
        <w:pStyle w:val="Heading3"/>
        <w:rPr/>
      </w:pPr>
      <w:bookmarkStart w:id="486" w:name="avant-douvrir-une-pull-request"/>
      <w:r>
        <w:rPr/>
        <w:t>4. Avant d’ouvrir une pull request</w:t>
      </w:r>
    </w:p>
    <w:p>
      <w:pPr>
        <w:pStyle w:val="Compact"/>
        <w:numPr>
          <w:ilvl w:val="0"/>
          <w:numId w:val="575"/>
        </w:numPr>
        <w:rPr/>
      </w:pPr>
      <w:r>
        <w:rPr/>
        <w:t xml:space="preserve">☐ </w:t>
      </w:r>
      <w:r>
        <w:rPr>
          <w:rStyle w:val="VerbatimChar"/>
        </w:rPr>
        <w:t>python -m pytest -q</w:t>
      </w:r>
      <w:r>
        <w:rPr/>
        <w:t xml:space="preserve"> passe</w:t>
      </w:r>
    </w:p>
    <w:p>
      <w:pPr>
        <w:pStyle w:val="Compact"/>
        <w:numPr>
          <w:ilvl w:val="0"/>
          <w:numId w:val="576"/>
        </w:numPr>
        <w:rPr/>
      </w:pPr>
      <w:r>
        <w:rPr/>
        <w:t xml:space="preserve">☐ </w:t>
      </w:r>
      <w:r>
        <w:rPr>
          <w:rStyle w:val="VerbatimChar"/>
        </w:rPr>
        <w:t>python manage.py makemigrations --check --dry-run</w:t>
      </w:r>
      <w:r>
        <w:rPr/>
        <w:t xml:space="preserve"> ne signale rien</w:t>
      </w:r>
    </w:p>
    <w:p>
      <w:pPr>
        <w:pStyle w:val="Compact"/>
        <w:numPr>
          <w:ilvl w:val="0"/>
          <w:numId w:val="577"/>
        </w:numPr>
        <w:rPr/>
      </w:pPr>
      <w:r>
        <w:rPr/>
        <w:t xml:space="preserve">☐ </w:t>
      </w:r>
      <w:r>
        <w:rPr>
          <w:rStyle w:val="VerbatimChar"/>
        </w:rPr>
        <w:t>npm run lint</w:t>
      </w:r>
      <w:r>
        <w:rPr/>
        <w:t xml:space="preserve"> et </w:t>
      </w:r>
      <w:r>
        <w:rPr>
          <w:rStyle w:val="VerbatimChar"/>
        </w:rPr>
        <w:t>npm run build</w:t>
      </w:r>
      <w:r>
        <w:rPr/>
        <w:t xml:space="preserve"> passent</w:t>
      </w:r>
    </w:p>
    <w:p>
      <w:pPr>
        <w:pStyle w:val="Compact"/>
        <w:numPr>
          <w:ilvl w:val="0"/>
          <w:numId w:val="578"/>
        </w:numPr>
        <w:rPr/>
      </w:pPr>
      <w:r>
        <w:rPr/>
        <w:t xml:space="preserve">☐ </w:t>
      </w:r>
      <w:r>
        <w:rPr/>
        <w:t>Tests ajoutés (voir Tests)</w:t>
      </w:r>
    </w:p>
    <w:p>
      <w:pPr>
        <w:pStyle w:val="Compact"/>
        <w:numPr>
          <w:ilvl w:val="0"/>
          <w:numId w:val="579"/>
        </w:numPr>
        <w:rPr/>
      </w:pPr>
      <w:r>
        <w:rPr/>
        <w:t xml:space="preserve">☐ </w:t>
      </w:r>
      <w:r>
        <w:rPr/>
        <w:t>Documentation mise à jour (</w:t>
      </w:r>
      <w:r>
        <w:rPr>
          <w:rStyle w:val="VerbatimChar"/>
        </w:rPr>
        <w:t>mkdocs build --strict</w:t>
      </w:r>
      <w:r>
        <w:rPr/>
        <w:t xml:space="preserve"> passe)</w:t>
      </w:r>
    </w:p>
    <w:p>
      <w:pPr>
        <w:pStyle w:val="Compact"/>
        <w:numPr>
          <w:ilvl w:val="0"/>
          <w:numId w:val="580"/>
        </w:numPr>
        <w:rPr/>
      </w:pPr>
      <w:r>
        <w:rPr/>
        <w:t xml:space="preserve">☐ </w:t>
      </w:r>
      <w:r>
        <w:rPr/>
        <w:t xml:space="preserve">Description de la PR : contexte, captures d’écran, migrations, nouvelles variables </w:t>
      </w:r>
      <w:r>
        <w:rPr>
          <w:rStyle w:val="VerbatimChar"/>
        </w:rPr>
        <w:t>.env</w:t>
      </w:r>
      <w:bookmarkEnd w:id="486"/>
    </w:p>
    <w:p>
      <w:pPr>
        <w:pStyle w:val="Heading3"/>
        <w:rPr/>
      </w:pPr>
      <w:bookmarkStart w:id="487" w:name="déploiement"/>
      <w:r>
        <w:rPr/>
        <w:t>5. Déploiement</w:t>
      </w:r>
    </w:p>
    <w:p>
      <w:pPr>
        <w:pStyle w:val="FirstParagraph"/>
        <w:rPr/>
      </w:pPr>
      <w:r>
        <w:rPr/>
        <w:t xml:space="preserve">Après fusion, la mise en production suit Mettre à jour la plateforme : sauvegarde, </w:t>
      </w:r>
      <w:r>
        <w:rPr>
          <w:rStyle w:val="VerbatimChar"/>
        </w:rPr>
        <w:t>git pull</w:t>
      </w:r>
      <w:r>
        <w:rPr/>
        <w:t xml:space="preserve">, </w:t>
      </w:r>
      <w:r>
        <w:rPr>
          <w:rStyle w:val="VerbatimChar"/>
        </w:rPr>
        <w:t>migrate</w:t>
      </w:r>
      <w:r>
        <w:rPr/>
        <w:t xml:space="preserve">, </w:t>
      </w:r>
      <w:r>
        <w:rPr>
          <w:rStyle w:val="VerbatimChar"/>
        </w:rPr>
        <w:t>collectstatic</w:t>
      </w:r>
      <w:r>
        <w:rPr/>
        <w:t xml:space="preserve">, </w:t>
      </w:r>
      <w:r>
        <w:rPr>
          <w:rStyle w:val="VerbatimChar"/>
        </w:rPr>
        <w:t>npm run build</w:t>
      </w:r>
      <w:r>
        <w:rPr/>
        <w:t>, redémarrage des services.</w:t>
      </w:r>
      <w:bookmarkEnd w:id="487"/>
    </w:p>
    <w:p>
      <w:pPr>
        <w:pStyle w:val="Heading3"/>
        <w:rPr/>
      </w:pPr>
      <w:bookmarkStart w:id="488" w:name="nettoyage-du-dépôt-à-faire-une-fois"/>
      <w:r>
        <w:rPr/>
        <w:t>6. Nettoyage du dépôt (à faire une fois)</w:t>
      </w:r>
    </w:p>
    <w:p>
      <w:pPr>
        <w:pStyle w:val="FirstParagraph"/>
        <w:rPr/>
      </w:pPr>
      <w:r>
        <w:rPr/>
        <w:t>Des fichiers qui ne devraient pas être versionnés sont encore suivis par Git (</w:t>
      </w:r>
      <w:r>
        <w:rPr>
          <w:rStyle w:val="VerbatimChar"/>
        </w:rPr>
        <w:t>back-istc/.env</w:t>
      </w:r>
      <w:r>
        <w:rPr/>
        <w:t xml:space="preserve"> avec ses secrets, </w:t>
      </w:r>
      <w:r>
        <w:rPr>
          <w:rStyle w:val="VerbatimChar"/>
        </w:rPr>
        <w:t>back-istc/db.sqlite3</w:t>
      </w:r>
      <w:r>
        <w:rPr/>
        <w:t xml:space="preserve">, </w:t>
      </w:r>
      <w:r>
        <w:rPr>
          <w:rStyle w:val="VerbatimChar"/>
        </w:rPr>
        <w:t>back-istc/media/</w:t>
      </w:r>
      <w:r>
        <w:rPr/>
        <w:t xml:space="preserve">, les dossiers </w:t>
      </w:r>
      <w:r>
        <w:rPr>
          <w:rStyle w:val="VerbatimChar"/>
        </w:rPr>
        <w:t>__pycache__/</w:t>
      </w:r>
      <w:r>
        <w:rPr/>
        <w:t xml:space="preserve">, </w:t>
      </w:r>
      <w:r>
        <w:rPr>
          <w:rStyle w:val="VerbatimChar"/>
        </w:rPr>
        <w:t>.DS_Store</w:t>
      </w:r>
      <w:r>
        <w:rPr/>
        <w:t xml:space="preserve">). Le </w:t>
      </w:r>
      <w:r>
        <w:rPr>
          <w:rStyle w:val="VerbatimChar"/>
        </w:rPr>
        <w:t>.gitignore</w:t>
      </w:r>
      <w:r>
        <w:rPr/>
        <w:t xml:space="preserve"> empêche d’en ajouter de nouveaux ; pour retirer ceux déjà suivis </w:t>
      </w:r>
      <w:r>
        <w:rPr>
          <w:b/>
          <w:bCs/>
        </w:rPr>
        <w:t>sans les supprimer du disque</w:t>
      </w:r>
      <w:r>
        <w:rPr/>
        <w:t xml:space="preserve"> :</w:t>
      </w:r>
    </w:p>
    <w:p>
      <w:pPr>
        <w:pStyle w:val="SourceCode"/>
        <w:rPr/>
      </w:pPr>
      <w:r>
        <w:rPr>
          <w:rStyle w:val="FunctionTok"/>
        </w:rPr>
        <w:t>git</w:t>
      </w:r>
      <w:r>
        <w:rPr>
          <w:rStyle w:val="NormalTok"/>
        </w:rPr>
        <w:t xml:space="preserve"> rm </w:t>
      </w:r>
      <w:r>
        <w:rPr>
          <w:rStyle w:val="AttributeTok"/>
        </w:rPr>
        <w:t>-r</w:t>
      </w:r>
      <w:r>
        <w:rPr>
          <w:rStyle w:val="NormalTok"/>
        </w:rPr>
        <w:t xml:space="preserve"> </w:t>
      </w:r>
      <w:r>
        <w:rPr>
          <w:rStyle w:val="AttributeTok"/>
        </w:rPr>
        <w:t>--cached</w:t>
      </w:r>
      <w:r>
        <w:rPr>
          <w:rStyle w:val="NormalTok"/>
        </w:rPr>
        <w:t xml:space="preserve"> back-istc/.env back-istc/db.sqlite3 back-istc/media .DS_Store</w:t>
      </w:r>
      <w:r>
        <w:rPr/>
        <w:br/>
      </w:r>
      <w:r>
        <w:rPr>
          <w:rStyle w:val="FunctionTok"/>
        </w:rPr>
        <w:t>git</w:t>
      </w:r>
      <w:r>
        <w:rPr>
          <w:rStyle w:val="NormalTok"/>
        </w:rPr>
        <w:t xml:space="preserve"> rm </w:t>
      </w:r>
      <w:r>
        <w:rPr>
          <w:rStyle w:val="AttributeTok"/>
        </w:rPr>
        <w:t>-r</w:t>
      </w:r>
      <w:r>
        <w:rPr>
          <w:rStyle w:val="NormalTok"/>
        </w:rPr>
        <w:t xml:space="preserve"> </w:t>
      </w:r>
      <w:r>
        <w:rPr>
          <w:rStyle w:val="AttributeTok"/>
        </w:rPr>
        <w:t>--cached</w:t>
      </w:r>
      <w:r>
        <w:rPr>
          <w:rStyle w:val="NormalTok"/>
        </w:rPr>
        <w:t xml:space="preserve"> </w:t>
      </w:r>
      <w:r>
        <w:rPr>
          <w:rStyle w:val="VariableTok"/>
        </w:rPr>
        <w:t>$(</w:t>
      </w:r>
      <w:r>
        <w:rPr>
          <w:rStyle w:val="FunctionTok"/>
        </w:rPr>
        <w:t>git</w:t>
      </w:r>
      <w:r>
        <w:rPr>
          <w:rStyle w:val="NormalTok"/>
        </w:rPr>
        <w:t xml:space="preserve"> ls-files </w:t>
      </w:r>
      <w:r>
        <w:rPr>
          <w:rStyle w:val="KeywordTok"/>
        </w:rPr>
        <w:t>|</w:t>
      </w:r>
      <w:r>
        <w:rPr>
          <w:rStyle w:val="NormalTok"/>
        </w:rPr>
        <w:t xml:space="preserve"> </w:t>
      </w:r>
      <w:r>
        <w:rPr>
          <w:rStyle w:val="FunctionTok"/>
        </w:rPr>
        <w:t>grep</w:t>
      </w:r>
      <w:r>
        <w:rPr>
          <w:rStyle w:val="NormalTok"/>
        </w:rPr>
        <w:t xml:space="preserve"> </w:t>
      </w:r>
      <w:r>
        <w:rPr>
          <w:rStyle w:val="AttributeTok"/>
        </w:rPr>
        <w:t>-E</w:t>
      </w:r>
      <w:r>
        <w:rPr>
          <w:rStyle w:val="NormalTok"/>
        </w:rPr>
        <w:t xml:space="preserve"> </w:t>
      </w:r>
      <w:r>
        <w:rPr>
          <w:rStyle w:val="StringTok"/>
        </w:rPr>
        <w:t>'__pycache__|\.pyc$|\.DS_Store$'</w:t>
      </w:r>
      <w:r>
        <w:rPr>
          <w:rStyle w:val="VariableTok"/>
        </w:rPr>
        <w:t>)</w:t>
      </w:r>
      <w:r>
        <w:rPr/>
        <w:br/>
      </w:r>
      <w:r>
        <w:rPr>
          <w:rStyle w:val="FunctionTok"/>
        </w:rPr>
        <w:t>git</w:t>
      </w:r>
      <w:r>
        <w:rPr>
          <w:rStyle w:val="NormalTok"/>
        </w:rPr>
        <w:t xml:space="preserve"> commit </w:t>
      </w:r>
      <w:r>
        <w:rPr>
          <w:rStyle w:val="AttributeTok"/>
        </w:rPr>
        <w:t>-m</w:t>
      </w:r>
      <w:r>
        <w:rPr>
          <w:rStyle w:val="NormalTok"/>
        </w:rPr>
        <w:t xml:space="preserve"> </w:t>
      </w:r>
      <w:r>
        <w:rPr>
          <w:rStyle w:val="StringTok"/>
        </w:rPr>
        <w:t>"Retire du suivi Git les secrets, la base locale et les fichiers générés"</w:t>
      </w:r>
    </w:p>
    <w:p>
      <w:pPr>
        <w:pStyle w:val="FirstParagraph"/>
        <w:spacing w:before="60" w:after="120"/>
        <w:rPr/>
      </w:pPr>
      <w:r>
        <w:rPr/>
        <w:t xml:space="preserve">Si le dépôt a déjà été partagé, considérez les valeurs de </w:t>
      </w:r>
      <w:r>
        <w:rPr>
          <w:rStyle w:val="VerbatimChar"/>
        </w:rPr>
        <w:t>back-istc/.env</w:t>
      </w:r>
      <w:r>
        <w:rPr/>
        <w:t xml:space="preserve"> comme divulguées : changez la </w:t>
      </w:r>
      <w:r>
        <w:rPr>
          <w:rStyle w:val="VerbatimChar"/>
        </w:rPr>
        <w:t>SECRET_KEY</w:t>
      </w:r>
      <w:r>
        <w:rPr/>
        <w:t>, le mot de passe de la base et la clé reCAPTCHA.</w:t>
      </w:r>
      <w:bookmarkEnd w:id="428"/>
      <w:bookmarkEnd w:id="482"/>
      <w:bookmarkEnd w:id="488"/>
    </w:p>
    <w:sectPr>
      <w:footerReference w:type="even" r:id="rId120"/>
      <w:footerReference w:type="default" r:id="rId121"/>
      <w:footerReference w:type="first" r:id="rId122"/>
      <w:type w:val="nextPage"/>
      <w:pgSz w:w="11906" w:h="16838"/>
      <w:pgMar w:left="1134" w:right="1134" w:gutter="0" w:header="0" w:top="1134" w:footer="567" w:bottom="1134"/>
      <w:pgNumType w:fmt="decimal"/>
      <w:formProt w:val="false"/>
      <w:titlePg/>
      <w:textDirection w:val="lrTb"/>
      <w:docGrid w:type="default" w:linePitch="10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onsolas">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B4C6E7"/>
      </w:pBdr>
      <w:tabs>
        <w:tab w:val="clear" w:pos="720"/>
        <w:tab w:val="right" w:pos="9638" w:leader="none"/>
      </w:tabs>
      <w:spacing w:before="0" w:after="0"/>
      <w:rPr/>
    </w:pPr>
    <w:r>
      <w:rPr>
        <w:color w:val="7F7F7F"/>
        <w:sz w:val="17"/>
      </w:rPr>
      <w:t>SmartCampus — Documentation complète</w:t>
      <w:tab/>
      <w:t xml:space="preserve">Page </w:t>
    </w:r>
    <w:r>
      <w:rPr>
        <w:color w:val="7F7F7F"/>
        <w:sz w:val="17"/>
      </w:rPr>
      <w:fldChar w:fldCharType="begin"/>
    </w:r>
    <w:r>
      <w:rPr>
        <w:sz w:val="17"/>
        <w:color w:val="7F7F7F"/>
      </w:rPr>
      <w:instrText xml:space="preserve"> PAGE </w:instrText>
    </w:r>
    <w:r>
      <w:rPr>
        <w:sz w:val="17"/>
        <w:color w:val="7F7F7F"/>
      </w:rPr>
      <w:fldChar w:fldCharType="separate"/>
    </w:r>
    <w:r>
      <w:rPr>
        <w:sz w:val="17"/>
        <w:color w:val="7F7F7F"/>
      </w:rPr>
      <w:t>125</w:t>
    </w:r>
    <w:r>
      <w:rPr>
        <w:sz w:val="17"/>
        <w:color w:val="7F7F7F"/>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8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9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9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
    <w:lvlOverride w:ilvl="0">
      <w:startOverride w:val="1"/>
    </w:lvlOverride>
  </w:num>
  <w:num w:numId="133">
    <w:abstractNumId w:val="1"/>
    <w:lvlOverride w:ilvl="0">
      <w:startOverride w:val="1"/>
    </w:lvlOverride>
  </w:num>
  <w:num w:numId="134">
    <w:abstractNumId w:val="1"/>
  </w:num>
  <w:num w:numId="135">
    <w:abstractNumId w:val="1"/>
  </w:num>
  <w:num w:numId="136">
    <w:abstractNumId w:val="1"/>
  </w:num>
  <w:num w:numId="137">
    <w:abstractNumId w:val="1"/>
  </w:num>
  <w:num w:numId="138">
    <w:abstractNumId w:val="1"/>
  </w:num>
  <w:num w:numId="139">
    <w:abstractNumId w:val="1"/>
  </w:num>
  <w:num w:numId="140">
    <w:abstractNumId w:val="1"/>
  </w:num>
  <w:num w:numId="141">
    <w:abstractNumId w:val="1"/>
  </w:num>
  <w:num w:numId="142">
    <w:abstractNumId w:val="1"/>
    <w:lvlOverride w:ilvl="0">
      <w:startOverride w:val="1"/>
    </w:lvlOverride>
  </w:num>
  <w:num w:numId="143">
    <w:abstractNumId w:val="1"/>
  </w:num>
  <w:num w:numId="144">
    <w:abstractNumId w:val="1"/>
  </w:num>
  <w:num w:numId="145">
    <w:abstractNumId w:val="1"/>
    <w:lvlOverride w:ilvl="0">
      <w:startOverride w:val="1"/>
    </w:lvlOverride>
  </w:num>
  <w:num w:numId="146">
    <w:abstractNumId w:val="1"/>
  </w:num>
  <w:num w:numId="147">
    <w:abstractNumId w:val="1"/>
  </w:num>
  <w:num w:numId="148">
    <w:abstractNumId w:val="1"/>
  </w:num>
  <w:num w:numId="149">
    <w:abstractNumId w:val="2"/>
  </w:num>
  <w:num w:numId="150">
    <w:abstractNumId w:val="2"/>
  </w:num>
  <w:num w:numId="151">
    <w:abstractNumId w:val="1"/>
    <w:lvlOverride w:ilvl="0">
      <w:startOverride w:val="1"/>
    </w:lvlOverride>
  </w:num>
  <w:num w:numId="152">
    <w:abstractNumId w:val="1"/>
  </w:num>
  <w:num w:numId="153">
    <w:abstractNumId w:val="2"/>
  </w:num>
  <w:num w:numId="154">
    <w:abstractNumId w:val="2"/>
  </w:num>
  <w:num w:numId="155">
    <w:abstractNumId w:val="2"/>
  </w:num>
  <w:num w:numId="156">
    <w:abstractNumId w:val="1"/>
  </w:num>
  <w:num w:numId="157">
    <w:abstractNumId w:val="1"/>
    <w:lvlOverride w:ilvl="0">
      <w:startOverride w:val="1"/>
    </w:lvlOverride>
  </w:num>
  <w:num w:numId="158">
    <w:abstractNumId w:val="1"/>
  </w:num>
  <w:num w:numId="159">
    <w:abstractNumId w:val="1"/>
  </w:num>
  <w:num w:numId="160">
    <w:abstractNumId w:val="1"/>
    <w:lvlOverride w:ilvl="0">
      <w:startOverride w:val="1"/>
    </w:lvlOverride>
  </w:num>
  <w:num w:numId="161">
    <w:abstractNumId w:val="1"/>
  </w:num>
  <w:num w:numId="162">
    <w:abstractNumId w:val="1"/>
    <w:lvlOverride w:ilvl="0">
      <w:startOverride w:val="1"/>
    </w:lvlOverride>
  </w:num>
  <w:num w:numId="163">
    <w:abstractNumId w:val="1"/>
  </w:num>
  <w:num w:numId="164">
    <w:abstractNumId w:val="1"/>
  </w:num>
  <w:num w:numId="165">
    <w:abstractNumId w:val="1"/>
  </w:num>
  <w:num w:numId="166">
    <w:abstractNumId w:val="1"/>
  </w:num>
  <w:num w:numId="167">
    <w:abstractNumId w:val="2"/>
  </w:num>
  <w:num w:numId="168">
    <w:abstractNumId w:val="2"/>
  </w:num>
  <w:num w:numId="169">
    <w:abstractNumId w:val="2"/>
  </w:num>
  <w:num w:numId="170">
    <w:abstractNumId w:val="2"/>
  </w:num>
  <w:num w:numId="171">
    <w:abstractNumId w:val="2"/>
  </w:num>
  <w:num w:numId="172">
    <w:abstractNumId w:val="2"/>
  </w:num>
  <w:num w:numId="173">
    <w:abstractNumId w:val="2"/>
  </w:num>
  <w:num w:numId="174">
    <w:abstractNumId w:val="2"/>
  </w:num>
  <w:num w:numId="175">
    <w:abstractNumId w:val="2"/>
  </w:num>
  <w:num w:numId="176">
    <w:abstractNumId w:val="2"/>
  </w:num>
  <w:num w:numId="177">
    <w:abstractNumId w:val="2"/>
  </w:num>
  <w:num w:numId="178">
    <w:abstractNumId w:val="2"/>
  </w:num>
  <w:num w:numId="179">
    <w:abstractNumId w:val="2"/>
  </w:num>
  <w:num w:numId="180">
    <w:abstractNumId w:val="2"/>
  </w:num>
  <w:num w:numId="181">
    <w:abstractNumId w:val="2"/>
  </w:num>
  <w:num w:numId="182">
    <w:abstractNumId w:val="2"/>
  </w:num>
  <w:num w:numId="183">
    <w:abstractNumId w:val="1"/>
    <w:lvlOverride w:ilvl="0">
      <w:startOverride w:val="1"/>
    </w:lvlOverride>
  </w:num>
  <w:num w:numId="184">
    <w:abstractNumId w:val="1"/>
  </w:num>
  <w:num w:numId="185">
    <w:abstractNumId w:val="1"/>
  </w:num>
  <w:num w:numId="186">
    <w:abstractNumId w:val="2"/>
  </w:num>
  <w:num w:numId="187">
    <w:abstractNumId w:val="2"/>
  </w:num>
  <w:num w:numId="188">
    <w:abstractNumId w:val="2"/>
  </w:num>
  <w:num w:numId="189">
    <w:abstractNumId w:val="1"/>
  </w:num>
  <w:num w:numId="190">
    <w:abstractNumId w:val="2"/>
  </w:num>
  <w:num w:numId="191">
    <w:abstractNumId w:val="2"/>
  </w:num>
  <w:num w:numId="192">
    <w:abstractNumId w:val="2"/>
  </w:num>
  <w:num w:numId="193">
    <w:abstractNumId w:val="2"/>
  </w:num>
  <w:num w:numId="194">
    <w:abstractNumId w:val="1"/>
    <w:lvlOverride w:ilvl="0">
      <w:startOverride w:val="1"/>
    </w:lvlOverride>
  </w:num>
  <w:num w:numId="195">
    <w:abstractNumId w:val="1"/>
  </w:num>
  <w:num w:numId="196">
    <w:abstractNumId w:val="1"/>
  </w:num>
  <w:num w:numId="197">
    <w:abstractNumId w:val="2"/>
  </w:num>
  <w:num w:numId="198">
    <w:abstractNumId w:val="2"/>
  </w:num>
  <w:num w:numId="199">
    <w:abstractNumId w:val="2"/>
  </w:num>
  <w:num w:numId="200">
    <w:abstractNumId w:val="2"/>
  </w:num>
  <w:num w:numId="201">
    <w:abstractNumId w:val="2"/>
  </w:num>
  <w:num w:numId="202">
    <w:abstractNumId w:val="2"/>
  </w:num>
  <w:num w:numId="203">
    <w:abstractNumId w:val="2"/>
  </w:num>
  <w:num w:numId="204">
    <w:abstractNumId w:val="2"/>
  </w:num>
  <w:num w:numId="205">
    <w:abstractNumId w:val="2"/>
  </w:num>
  <w:num w:numId="206">
    <w:abstractNumId w:val="2"/>
  </w:num>
  <w:num w:numId="207">
    <w:abstractNumId w:val="2"/>
  </w:num>
  <w:num w:numId="208">
    <w:abstractNumId w:val="1"/>
    <w:lvlOverride w:ilvl="0">
      <w:startOverride w:val="1"/>
    </w:lvlOverride>
  </w:num>
  <w:num w:numId="209">
    <w:abstractNumId w:val="1"/>
  </w:num>
  <w:num w:numId="210">
    <w:abstractNumId w:val="1"/>
  </w:num>
  <w:num w:numId="211">
    <w:abstractNumId w:val="2"/>
  </w:num>
  <w:num w:numId="212">
    <w:abstractNumId w:val="2"/>
  </w:num>
  <w:num w:numId="213">
    <w:abstractNumId w:val="1"/>
    <w:lvlOverride w:ilvl="0">
      <w:startOverride w:val="1"/>
    </w:lvlOverride>
  </w:num>
  <w:num w:numId="214">
    <w:abstractNumId w:val="1"/>
  </w:num>
  <w:num w:numId="215">
    <w:abstractNumId w:val="1"/>
  </w:num>
  <w:num w:numId="216">
    <w:abstractNumId w:val="2"/>
  </w:num>
  <w:num w:numId="217">
    <w:abstractNumId w:val="2"/>
  </w:num>
  <w:num w:numId="218">
    <w:abstractNumId w:val="2"/>
  </w:num>
  <w:num w:numId="219">
    <w:abstractNumId w:val="2"/>
  </w:num>
  <w:num w:numId="220">
    <w:abstractNumId w:val="2"/>
  </w:num>
  <w:num w:numId="221">
    <w:abstractNumId w:val="1"/>
    <w:lvlOverride w:ilvl="0">
      <w:startOverride w:val="1"/>
    </w:lvlOverride>
  </w:num>
  <w:num w:numId="222">
    <w:abstractNumId w:val="1"/>
  </w:num>
  <w:num w:numId="223">
    <w:abstractNumId w:val="1"/>
  </w:num>
  <w:num w:numId="224">
    <w:abstractNumId w:val="1"/>
  </w:num>
  <w:num w:numId="225">
    <w:abstractNumId w:val="1"/>
  </w:num>
  <w:num w:numId="226">
    <w:abstractNumId w:val="2"/>
  </w:num>
  <w:num w:numId="227">
    <w:abstractNumId w:val="2"/>
  </w:num>
  <w:num w:numId="228">
    <w:abstractNumId w:val="2"/>
  </w:num>
  <w:num w:numId="229">
    <w:abstractNumId w:val="2"/>
  </w:num>
  <w:num w:numId="230">
    <w:abstractNumId w:val="2"/>
  </w:num>
  <w:num w:numId="231">
    <w:abstractNumId w:val="2"/>
  </w:num>
  <w:num w:numId="232">
    <w:abstractNumId w:val="1"/>
    <w:lvlOverride w:ilvl="0">
      <w:startOverride w:val="1"/>
    </w:lvlOverride>
  </w:num>
  <w:num w:numId="233">
    <w:abstractNumId w:val="1"/>
  </w:num>
  <w:num w:numId="234">
    <w:abstractNumId w:val="1"/>
  </w:num>
  <w:num w:numId="235">
    <w:abstractNumId w:val="1"/>
  </w:num>
  <w:num w:numId="236">
    <w:abstractNumId w:val="2"/>
  </w:num>
  <w:num w:numId="237">
    <w:abstractNumId w:val="2"/>
  </w:num>
  <w:num w:numId="238">
    <w:abstractNumId w:val="2"/>
  </w:num>
  <w:num w:numId="239">
    <w:abstractNumId w:val="2"/>
  </w:num>
  <w:num w:numId="240">
    <w:abstractNumId w:val="2"/>
  </w:num>
  <w:num w:numId="241">
    <w:abstractNumId w:val="2"/>
  </w:num>
  <w:num w:numId="242">
    <w:abstractNumId w:val="1"/>
    <w:lvlOverride w:ilvl="0">
      <w:startOverride w:val="1"/>
    </w:lvlOverride>
  </w:num>
  <w:num w:numId="243">
    <w:abstractNumId w:val="1"/>
  </w:num>
  <w:num w:numId="244">
    <w:abstractNumId w:val="1"/>
  </w:num>
  <w:num w:numId="245">
    <w:abstractNumId w:val="2"/>
  </w:num>
  <w:num w:numId="246">
    <w:abstractNumId w:val="2"/>
  </w:num>
  <w:num w:numId="247">
    <w:abstractNumId w:val="1"/>
    <w:lvlOverride w:ilvl="0">
      <w:startOverride w:val="1"/>
    </w:lvlOverride>
  </w:num>
  <w:num w:numId="248">
    <w:abstractNumId w:val="1"/>
  </w:num>
  <w:num w:numId="249">
    <w:abstractNumId w:val="1"/>
  </w:num>
  <w:num w:numId="250">
    <w:abstractNumId w:val="2"/>
  </w:num>
  <w:num w:numId="251">
    <w:abstractNumId w:val="2"/>
  </w:num>
  <w:num w:numId="252">
    <w:abstractNumId w:val="2"/>
  </w:num>
  <w:num w:numId="253">
    <w:abstractNumId w:val="2"/>
  </w:num>
  <w:num w:numId="254">
    <w:abstractNumId w:val="2"/>
  </w:num>
  <w:num w:numId="255">
    <w:abstractNumId w:val="1"/>
    <w:lvlOverride w:ilvl="0">
      <w:startOverride w:val="1"/>
    </w:lvlOverride>
  </w:num>
  <w:num w:numId="256">
    <w:abstractNumId w:val="1"/>
  </w:num>
  <w:num w:numId="257">
    <w:abstractNumId w:val="1"/>
    <w:lvlOverride w:ilvl="0">
      <w:startOverride w:val="1"/>
    </w:lvlOverride>
  </w:num>
  <w:num w:numId="258">
    <w:abstractNumId w:val="1"/>
  </w:num>
  <w:num w:numId="259">
    <w:abstractNumId w:val="1"/>
  </w:num>
  <w:num w:numId="260">
    <w:abstractNumId w:val="1"/>
    <w:lvlOverride w:ilvl="0">
      <w:startOverride w:val="1"/>
    </w:lvlOverride>
  </w:num>
  <w:num w:numId="261">
    <w:abstractNumId w:val="1"/>
  </w:num>
  <w:num w:numId="262">
    <w:abstractNumId w:val="1"/>
  </w:num>
  <w:num w:numId="263">
    <w:abstractNumId w:val="2"/>
  </w:num>
  <w:num w:numId="264">
    <w:abstractNumId w:val="2"/>
  </w:num>
  <w:num w:numId="265">
    <w:abstractNumId w:val="2"/>
  </w:num>
  <w:num w:numId="266">
    <w:abstractNumId w:val="1"/>
    <w:lvlOverride w:ilvl="0">
      <w:startOverride w:val="1"/>
    </w:lvlOverride>
  </w:num>
  <w:num w:numId="267">
    <w:abstractNumId w:val="1"/>
  </w:num>
  <w:num w:numId="268">
    <w:abstractNumId w:val="1"/>
  </w:num>
  <w:num w:numId="269">
    <w:abstractNumId w:val="1"/>
  </w:num>
  <w:num w:numId="270">
    <w:abstractNumId w:val="1"/>
  </w:num>
  <w:num w:numId="271">
    <w:abstractNumId w:val="2"/>
  </w:num>
  <w:num w:numId="272">
    <w:abstractNumId w:val="2"/>
  </w:num>
  <w:num w:numId="273">
    <w:abstractNumId w:val="1"/>
    <w:lvlOverride w:ilvl="0">
      <w:startOverride w:val="1"/>
    </w:lvlOverride>
  </w:num>
  <w:num w:numId="274">
    <w:abstractNumId w:val="1"/>
  </w:num>
  <w:num w:numId="275">
    <w:abstractNumId w:val="1"/>
  </w:num>
  <w:num w:numId="276">
    <w:abstractNumId w:val="1"/>
    <w:lvlOverride w:ilvl="0">
      <w:startOverride w:val="1"/>
    </w:lvlOverride>
  </w:num>
  <w:num w:numId="277">
    <w:abstractNumId w:val="1"/>
  </w:num>
  <w:num w:numId="278">
    <w:abstractNumId w:val="1"/>
  </w:num>
  <w:num w:numId="279">
    <w:abstractNumId w:val="1"/>
    <w:lvlOverride w:ilvl="0">
      <w:startOverride w:val="1"/>
    </w:lvlOverride>
  </w:num>
  <w:num w:numId="280">
    <w:abstractNumId w:val="1"/>
  </w:num>
  <w:num w:numId="281">
    <w:abstractNumId w:val="1"/>
  </w:num>
  <w:num w:numId="282">
    <w:abstractNumId w:val="2"/>
  </w:num>
  <w:num w:numId="283">
    <w:abstractNumId w:val="2"/>
  </w:num>
  <w:num w:numId="284">
    <w:abstractNumId w:val="1"/>
    <w:lvlOverride w:ilvl="0">
      <w:startOverride w:val="1"/>
    </w:lvlOverride>
  </w:num>
  <w:num w:numId="285">
    <w:abstractNumId w:val="1"/>
  </w:num>
  <w:num w:numId="286">
    <w:abstractNumId w:val="1"/>
  </w:num>
  <w:num w:numId="287">
    <w:abstractNumId w:val="2"/>
  </w:num>
  <w:num w:numId="288">
    <w:abstractNumId w:val="2"/>
  </w:num>
  <w:num w:numId="289">
    <w:abstractNumId w:val="2"/>
  </w:num>
  <w:num w:numId="290">
    <w:abstractNumId w:val="1"/>
    <w:lvlOverride w:ilvl="0">
      <w:startOverride w:val="1"/>
    </w:lvlOverride>
  </w:num>
  <w:num w:numId="291">
    <w:abstractNumId w:val="1"/>
  </w:num>
  <w:num w:numId="292">
    <w:abstractNumId w:val="1"/>
  </w:num>
  <w:num w:numId="293">
    <w:abstractNumId w:val="2"/>
  </w:num>
  <w:num w:numId="294">
    <w:abstractNumId w:val="2"/>
  </w:num>
  <w:num w:numId="295">
    <w:abstractNumId w:val="2"/>
  </w:num>
  <w:num w:numId="296">
    <w:abstractNumId w:val="1"/>
    <w:lvlOverride w:ilvl="0">
      <w:startOverride w:val="1"/>
    </w:lvlOverride>
  </w:num>
  <w:num w:numId="297">
    <w:abstractNumId w:val="1"/>
  </w:num>
  <w:num w:numId="298">
    <w:abstractNumId w:val="1"/>
  </w:num>
  <w:num w:numId="299">
    <w:abstractNumId w:val="1"/>
  </w:num>
  <w:num w:numId="300">
    <w:abstractNumId w:val="1"/>
  </w:num>
  <w:num w:numId="301">
    <w:abstractNumId w:val="2"/>
  </w:num>
  <w:num w:numId="302">
    <w:abstractNumId w:val="2"/>
  </w:num>
  <w:num w:numId="303">
    <w:abstractNumId w:val="2"/>
  </w:num>
  <w:num w:numId="304">
    <w:abstractNumId w:val="2"/>
  </w:num>
  <w:num w:numId="305">
    <w:abstractNumId w:val="2"/>
  </w:num>
  <w:num w:numId="306">
    <w:abstractNumId w:val="2"/>
  </w:num>
  <w:num w:numId="307">
    <w:abstractNumId w:val="1"/>
    <w:lvlOverride w:ilvl="0">
      <w:startOverride w:val="1"/>
    </w:lvlOverride>
  </w:num>
  <w:num w:numId="308">
    <w:abstractNumId w:val="1"/>
  </w:num>
  <w:num w:numId="309">
    <w:abstractNumId w:val="1"/>
  </w:num>
  <w:num w:numId="310">
    <w:abstractNumId w:val="1"/>
  </w:num>
  <w:num w:numId="311">
    <w:abstractNumId w:val="1"/>
  </w:num>
  <w:num w:numId="312">
    <w:abstractNumId w:val="1"/>
  </w:num>
  <w:num w:numId="313">
    <w:abstractNumId w:val="1"/>
  </w:num>
  <w:num w:numId="314">
    <w:abstractNumId w:val="1"/>
    <w:lvlOverride w:ilvl="0">
      <w:startOverride w:val="1"/>
    </w:lvlOverride>
  </w:num>
  <w:num w:numId="315">
    <w:abstractNumId w:val="1"/>
  </w:num>
  <w:num w:numId="316">
    <w:abstractNumId w:val="1"/>
  </w:num>
  <w:num w:numId="317">
    <w:abstractNumId w:val="1"/>
  </w:num>
  <w:num w:numId="318">
    <w:abstractNumId w:val="1"/>
  </w:num>
  <w:num w:numId="319">
    <w:abstractNumId w:val="2"/>
  </w:num>
  <w:num w:numId="320">
    <w:abstractNumId w:val="2"/>
  </w:num>
  <w:num w:numId="321">
    <w:abstractNumId w:val="1"/>
    <w:lvlOverride w:ilvl="0">
      <w:startOverride w:val="1"/>
    </w:lvlOverride>
  </w:num>
  <w:num w:numId="322">
    <w:abstractNumId w:val="1"/>
  </w:num>
  <w:num w:numId="323">
    <w:abstractNumId w:val="1"/>
  </w:num>
  <w:num w:numId="324">
    <w:abstractNumId w:val="1"/>
    <w:lvlOverride w:ilvl="0">
      <w:startOverride w:val="1"/>
    </w:lvlOverride>
  </w:num>
  <w:num w:numId="325">
    <w:abstractNumId w:val="1"/>
  </w:num>
  <w:num w:numId="326">
    <w:abstractNumId w:val="1"/>
  </w:num>
  <w:num w:numId="327">
    <w:abstractNumId w:val="2"/>
  </w:num>
  <w:num w:numId="328">
    <w:abstractNumId w:val="2"/>
  </w:num>
  <w:num w:numId="329">
    <w:abstractNumId w:val="2"/>
  </w:num>
  <w:num w:numId="330">
    <w:abstractNumId w:val="2"/>
  </w:num>
  <w:num w:numId="331">
    <w:abstractNumId w:val="2"/>
  </w:num>
  <w:num w:numId="332">
    <w:abstractNumId w:val="1"/>
    <w:lvlOverride w:ilvl="0">
      <w:startOverride w:val="1"/>
    </w:lvlOverride>
  </w:num>
  <w:num w:numId="333">
    <w:abstractNumId w:val="1"/>
  </w:num>
  <w:num w:numId="334">
    <w:abstractNumId w:val="1"/>
  </w:num>
  <w:num w:numId="335">
    <w:abstractNumId w:val="1"/>
    <w:lvlOverride w:ilvl="0">
      <w:startOverride w:val="1"/>
    </w:lvlOverride>
  </w:num>
  <w:num w:numId="336">
    <w:abstractNumId w:val="1"/>
  </w:num>
  <w:num w:numId="337">
    <w:abstractNumId w:val="1"/>
  </w:num>
  <w:num w:numId="338">
    <w:abstractNumId w:val="1"/>
    <w:lvlOverride w:ilvl="0">
      <w:startOverride w:val="1"/>
    </w:lvlOverride>
  </w:num>
  <w:num w:numId="339">
    <w:abstractNumId w:val="1"/>
  </w:num>
  <w:num w:numId="340">
    <w:abstractNumId w:val="1"/>
  </w:num>
  <w:num w:numId="341">
    <w:abstractNumId w:val="1"/>
    <w:lvlOverride w:ilvl="0">
      <w:startOverride w:val="1"/>
    </w:lvlOverride>
  </w:num>
  <w:num w:numId="342">
    <w:abstractNumId w:val="1"/>
  </w:num>
  <w:num w:numId="343">
    <w:abstractNumId w:val="1"/>
  </w:num>
  <w:num w:numId="344">
    <w:abstractNumId w:val="1"/>
  </w:num>
  <w:num w:numId="345">
    <w:abstractNumId w:val="2"/>
  </w:num>
  <w:num w:numId="346">
    <w:abstractNumId w:val="2"/>
  </w:num>
  <w:num w:numId="347">
    <w:abstractNumId w:val="2"/>
  </w:num>
  <w:num w:numId="348">
    <w:abstractNumId w:val="2"/>
  </w:num>
  <w:num w:numId="349">
    <w:abstractNumId w:val="1"/>
    <w:lvlOverride w:ilvl="0">
      <w:startOverride w:val="1"/>
    </w:lvlOverride>
  </w:num>
  <w:num w:numId="350">
    <w:abstractNumId w:val="1"/>
  </w:num>
  <w:num w:numId="351">
    <w:abstractNumId w:val="2"/>
  </w:num>
  <w:num w:numId="352">
    <w:abstractNumId w:val="2"/>
  </w:num>
  <w:num w:numId="353">
    <w:abstractNumId w:val="2"/>
  </w:num>
  <w:num w:numId="354">
    <w:abstractNumId w:val="2"/>
  </w:num>
  <w:num w:numId="355">
    <w:abstractNumId w:val="2"/>
  </w:num>
  <w:num w:numId="356">
    <w:abstractNumId w:val="2"/>
  </w:num>
  <w:num w:numId="357">
    <w:abstractNumId w:val="2"/>
  </w:num>
  <w:num w:numId="358">
    <w:abstractNumId w:val="2"/>
  </w:num>
  <w:num w:numId="359">
    <w:abstractNumId w:val="2"/>
  </w:num>
  <w:num w:numId="360">
    <w:abstractNumId w:val="1"/>
    <w:lvlOverride w:ilvl="0">
      <w:startOverride w:val="1"/>
    </w:lvlOverride>
  </w:num>
  <w:num w:numId="361">
    <w:abstractNumId w:val="1"/>
  </w:num>
  <w:num w:numId="362">
    <w:abstractNumId w:val="1"/>
  </w:num>
  <w:num w:numId="363">
    <w:abstractNumId w:val="1"/>
  </w:num>
  <w:num w:numId="364">
    <w:abstractNumId w:val="1"/>
  </w:num>
  <w:num w:numId="365">
    <w:abstractNumId w:val="2"/>
  </w:num>
  <w:num w:numId="366">
    <w:abstractNumId w:val="2"/>
  </w:num>
  <w:num w:numId="367">
    <w:abstractNumId w:val="1"/>
  </w:num>
  <w:num w:numId="368">
    <w:abstractNumId w:val="1"/>
    <w:lvlOverride w:ilvl="0">
      <w:startOverride w:val="1"/>
    </w:lvlOverride>
  </w:num>
  <w:num w:numId="369">
    <w:abstractNumId w:val="1"/>
  </w:num>
  <w:num w:numId="370">
    <w:abstractNumId w:val="1"/>
  </w:num>
  <w:num w:numId="371">
    <w:abstractNumId w:val="1"/>
    <w:lvlOverride w:ilvl="0">
      <w:startOverride w:val="1"/>
    </w:lvlOverride>
  </w:num>
  <w:num w:numId="372">
    <w:abstractNumId w:val="1"/>
  </w:num>
  <w:num w:numId="373">
    <w:abstractNumId w:val="1"/>
  </w:num>
  <w:num w:numId="374">
    <w:abstractNumId w:val="1"/>
  </w:num>
  <w:num w:numId="375">
    <w:abstractNumId w:val="1"/>
    <w:lvlOverride w:ilvl="0">
      <w:startOverride w:val="1"/>
    </w:lvlOverride>
  </w:num>
  <w:num w:numId="376">
    <w:abstractNumId w:val="1"/>
  </w:num>
  <w:num w:numId="377">
    <w:abstractNumId w:val="1"/>
  </w:num>
  <w:num w:numId="378">
    <w:abstractNumId w:val="1"/>
    <w:lvlOverride w:ilvl="0">
      <w:startOverride w:val="1"/>
    </w:lvlOverride>
  </w:num>
  <w:num w:numId="379">
    <w:abstractNumId w:val="1"/>
  </w:num>
  <w:num w:numId="380">
    <w:abstractNumId w:val="1"/>
  </w:num>
  <w:num w:numId="381">
    <w:abstractNumId w:val="1"/>
    <w:lvlOverride w:ilvl="0">
      <w:startOverride w:val="1"/>
    </w:lvlOverride>
  </w:num>
  <w:num w:numId="382">
    <w:abstractNumId w:val="1"/>
  </w:num>
  <w:num w:numId="383">
    <w:abstractNumId w:val="1"/>
  </w:num>
  <w:num w:numId="384">
    <w:abstractNumId w:val="1"/>
    <w:lvlOverride w:ilvl="0">
      <w:startOverride w:val="1"/>
    </w:lvlOverride>
  </w:num>
  <w:num w:numId="385">
    <w:abstractNumId w:val="1"/>
  </w:num>
  <w:num w:numId="386">
    <w:abstractNumId w:val="1"/>
  </w:num>
  <w:num w:numId="387">
    <w:abstractNumId w:val="1"/>
    <w:lvlOverride w:ilvl="0">
      <w:startOverride w:val="1"/>
    </w:lvlOverride>
  </w:num>
  <w:num w:numId="388">
    <w:abstractNumId w:val="1"/>
  </w:num>
  <w:num w:numId="389">
    <w:abstractNumId w:val="1"/>
  </w:num>
  <w:num w:numId="390">
    <w:abstractNumId w:val="1"/>
  </w:num>
  <w:num w:numId="391">
    <w:abstractNumId w:val="1"/>
    <w:lvlOverride w:ilvl="0">
      <w:startOverride w:val="1"/>
    </w:lvlOverride>
  </w:num>
  <w:num w:numId="392">
    <w:abstractNumId w:val="1"/>
  </w:num>
  <w:num w:numId="393">
    <w:abstractNumId w:val="1"/>
  </w:num>
  <w:num w:numId="394">
    <w:abstractNumId w:val="1"/>
  </w:num>
  <w:num w:numId="395">
    <w:abstractNumId w:val="1"/>
  </w:num>
  <w:num w:numId="396">
    <w:abstractNumId w:val="2"/>
  </w:num>
  <w:num w:numId="397">
    <w:abstractNumId w:val="2"/>
  </w:num>
  <w:num w:numId="398">
    <w:abstractNumId w:val="2"/>
  </w:num>
  <w:num w:numId="399">
    <w:abstractNumId w:val="1"/>
    <w:lvlOverride w:ilvl="0">
      <w:startOverride w:val="1"/>
    </w:lvlOverride>
  </w:num>
  <w:num w:numId="400">
    <w:abstractNumId w:val="1"/>
  </w:num>
  <w:num w:numId="401">
    <w:abstractNumId w:val="1"/>
  </w:num>
  <w:num w:numId="402">
    <w:abstractNumId w:val="1"/>
  </w:num>
  <w:num w:numId="403">
    <w:abstractNumId w:val="1"/>
    <w:lvlOverride w:ilvl="0">
      <w:startOverride w:val="1"/>
    </w:lvlOverride>
  </w:num>
  <w:num w:numId="404">
    <w:abstractNumId w:val="1"/>
  </w:num>
  <w:num w:numId="405">
    <w:abstractNumId w:val="1"/>
  </w:num>
  <w:num w:numId="406">
    <w:abstractNumId w:val="1"/>
  </w:num>
  <w:num w:numId="407">
    <w:abstractNumId w:val="1"/>
    <w:lvlOverride w:ilvl="0">
      <w:startOverride w:val="1"/>
    </w:lvlOverride>
  </w:num>
  <w:num w:numId="408">
    <w:abstractNumId w:val="1"/>
  </w:num>
  <w:num w:numId="409">
    <w:abstractNumId w:val="1"/>
  </w:num>
  <w:num w:numId="410">
    <w:abstractNumId w:val="1"/>
  </w:num>
  <w:num w:numId="411">
    <w:abstractNumId w:val="2"/>
  </w:num>
  <w:num w:numId="412">
    <w:abstractNumId w:val="2"/>
  </w:num>
  <w:num w:numId="413">
    <w:abstractNumId w:val="2"/>
  </w:num>
  <w:num w:numId="414">
    <w:abstractNumId w:val="1"/>
    <w:lvlOverride w:ilvl="0">
      <w:startOverride w:val="1"/>
    </w:lvlOverride>
  </w:num>
  <w:num w:numId="415">
    <w:abstractNumId w:val="1"/>
  </w:num>
  <w:num w:numId="416">
    <w:abstractNumId w:val="1"/>
    <w:lvlOverride w:ilvl="0">
      <w:startOverride w:val="1"/>
    </w:lvlOverride>
  </w:num>
  <w:num w:numId="417">
    <w:abstractNumId w:val="1"/>
  </w:num>
  <w:num w:numId="418">
    <w:abstractNumId w:val="1"/>
  </w:num>
  <w:num w:numId="419">
    <w:abstractNumId w:val="1"/>
  </w:num>
  <w:num w:numId="420">
    <w:abstractNumId w:val="1"/>
    <w:lvlOverride w:ilvl="0">
      <w:startOverride w:val="1"/>
    </w:lvlOverride>
  </w:num>
  <w:num w:numId="421">
    <w:abstractNumId w:val="1"/>
  </w:num>
  <w:num w:numId="422">
    <w:abstractNumId w:val="1"/>
  </w:num>
  <w:num w:numId="423">
    <w:abstractNumId w:val="2"/>
  </w:num>
  <w:num w:numId="424">
    <w:abstractNumId w:val="2"/>
  </w:num>
  <w:num w:numId="425">
    <w:abstractNumId w:val="2"/>
  </w:num>
  <w:num w:numId="426">
    <w:abstractNumId w:val="2"/>
  </w:num>
  <w:num w:numId="427">
    <w:abstractNumId w:val="2"/>
  </w:num>
  <w:num w:numId="428">
    <w:abstractNumId w:val="2"/>
  </w:num>
  <w:num w:numId="429">
    <w:abstractNumId w:val="2"/>
  </w:num>
  <w:num w:numId="430">
    <w:abstractNumId w:val="2"/>
  </w:num>
  <w:num w:numId="431">
    <w:abstractNumId w:val="2"/>
  </w:num>
  <w:num w:numId="432">
    <w:abstractNumId w:val="2"/>
  </w:num>
  <w:num w:numId="433">
    <w:abstractNumId w:val="2"/>
  </w:num>
  <w:num w:numId="434">
    <w:abstractNumId w:val="2"/>
  </w:num>
  <w:num w:numId="435">
    <w:abstractNumId w:val="2"/>
  </w:num>
  <w:num w:numId="436">
    <w:abstractNumId w:val="1"/>
    <w:lvlOverride w:ilvl="0">
      <w:startOverride w:val="1"/>
    </w:lvlOverride>
  </w:num>
  <w:num w:numId="437">
    <w:abstractNumId w:val="1"/>
  </w:num>
  <w:num w:numId="438">
    <w:abstractNumId w:val="1"/>
  </w:num>
  <w:num w:numId="439">
    <w:abstractNumId w:val="1"/>
  </w:num>
  <w:num w:numId="440">
    <w:abstractNumId w:val="1"/>
    <w:lvlOverride w:ilvl="0">
      <w:startOverride w:val="1"/>
    </w:lvlOverride>
  </w:num>
  <w:num w:numId="441">
    <w:abstractNumId w:val="1"/>
  </w:num>
  <w:num w:numId="442">
    <w:abstractNumId w:val="1"/>
  </w:num>
  <w:num w:numId="443">
    <w:abstractNumId w:val="1"/>
  </w:num>
  <w:num w:numId="444">
    <w:abstractNumId w:val="1"/>
  </w:num>
  <w:num w:numId="445">
    <w:abstractNumId w:val="1"/>
  </w:num>
  <w:num w:numId="446">
    <w:abstractNumId w:val="1"/>
  </w:num>
  <w:num w:numId="447">
    <w:abstractNumId w:val="2"/>
  </w:num>
  <w:num w:numId="448">
    <w:abstractNumId w:val="2"/>
  </w:num>
  <w:num w:numId="449">
    <w:abstractNumId w:val="2"/>
  </w:num>
  <w:num w:numId="450">
    <w:abstractNumId w:val="2"/>
  </w:num>
  <w:num w:numId="451">
    <w:abstractNumId w:val="2"/>
  </w:num>
  <w:num w:numId="452">
    <w:abstractNumId w:val="2"/>
  </w:num>
  <w:num w:numId="453">
    <w:abstractNumId w:val="2"/>
  </w:num>
  <w:num w:numId="454">
    <w:abstractNumId w:val="2"/>
  </w:num>
  <w:num w:numId="455">
    <w:abstractNumId w:val="2"/>
  </w:num>
  <w:num w:numId="456">
    <w:abstractNumId w:val="2"/>
  </w:num>
  <w:num w:numId="457">
    <w:abstractNumId w:val="2"/>
  </w:num>
  <w:num w:numId="458">
    <w:abstractNumId w:val="1"/>
    <w:lvlOverride w:ilvl="0">
      <w:startOverride w:val="1"/>
    </w:lvlOverride>
  </w:num>
  <w:num w:numId="459">
    <w:abstractNumId w:val="1"/>
  </w:num>
  <w:num w:numId="460">
    <w:abstractNumId w:val="1"/>
  </w:num>
  <w:num w:numId="461">
    <w:abstractNumId w:val="2"/>
  </w:num>
  <w:num w:numId="462">
    <w:abstractNumId w:val="2"/>
  </w:num>
  <w:num w:numId="463">
    <w:abstractNumId w:val="1"/>
    <w:lvlOverride w:ilvl="0">
      <w:startOverride w:val="1"/>
    </w:lvlOverride>
  </w:num>
  <w:num w:numId="464">
    <w:abstractNumId w:val="1"/>
  </w:num>
  <w:num w:numId="465">
    <w:abstractNumId w:val="2"/>
  </w:num>
  <w:num w:numId="466">
    <w:abstractNumId w:val="2"/>
  </w:num>
  <w:num w:numId="467">
    <w:abstractNumId w:val="2"/>
  </w:num>
  <w:num w:numId="468">
    <w:abstractNumId w:val="1"/>
    <w:lvlOverride w:ilvl="0">
      <w:startOverride w:val="1"/>
    </w:lvlOverride>
  </w:num>
  <w:num w:numId="469">
    <w:abstractNumId w:val="1"/>
  </w:num>
  <w:num w:numId="470">
    <w:abstractNumId w:val="1"/>
  </w:num>
  <w:num w:numId="471">
    <w:abstractNumId w:val="2"/>
  </w:num>
  <w:num w:numId="472">
    <w:abstractNumId w:val="2"/>
  </w:num>
  <w:num w:numId="473">
    <w:abstractNumId w:val="2"/>
  </w:num>
  <w:num w:numId="474">
    <w:abstractNumId w:val="1"/>
    <w:lvlOverride w:ilvl="0">
      <w:startOverride w:val="1"/>
    </w:lvlOverride>
  </w:num>
  <w:num w:numId="475">
    <w:abstractNumId w:val="2"/>
  </w:num>
  <w:num w:numId="476">
    <w:abstractNumId w:val="2"/>
  </w:num>
  <w:num w:numId="477">
    <w:abstractNumId w:val="1"/>
  </w:num>
  <w:num w:numId="478">
    <w:abstractNumId w:val="1"/>
    <w:lvlOverride w:ilvl="0">
      <w:startOverride w:val="1"/>
    </w:lvlOverride>
    <w:lvlOverride w:ilvl="1">
      <w:startOverride w:val="1"/>
    </w:lvlOverride>
  </w:num>
  <w:num w:numId="479">
    <w:abstractNumId w:val="1"/>
  </w:num>
  <w:num w:numId="480">
    <w:abstractNumId w:val="1"/>
  </w:num>
  <w:num w:numId="481">
    <w:abstractNumId w:val="1"/>
  </w:num>
  <w:num w:numId="482">
    <w:abstractNumId w:val="1"/>
  </w:num>
  <w:num w:numId="483">
    <w:abstractNumId w:val="1"/>
  </w:num>
  <w:num w:numId="484">
    <w:abstractNumId w:val="1"/>
  </w:num>
  <w:num w:numId="485">
    <w:abstractNumId w:val="2"/>
  </w:num>
  <w:num w:numId="486">
    <w:abstractNumId w:val="2"/>
  </w:num>
  <w:num w:numId="487">
    <w:abstractNumId w:val="2"/>
  </w:num>
  <w:num w:numId="488">
    <w:abstractNumId w:val="2"/>
  </w:num>
  <w:num w:numId="489">
    <w:abstractNumId w:val="2"/>
  </w:num>
  <w:num w:numId="490">
    <w:abstractNumId w:val="2"/>
  </w:num>
  <w:num w:numId="491">
    <w:abstractNumId w:val="2"/>
  </w:num>
  <w:num w:numId="492">
    <w:abstractNumId w:val="2"/>
  </w:num>
  <w:num w:numId="493">
    <w:abstractNumId w:val="2"/>
  </w:num>
  <w:num w:numId="494">
    <w:abstractNumId w:val="2"/>
  </w:num>
  <w:num w:numId="495">
    <w:abstractNumId w:val="2"/>
  </w:num>
  <w:num w:numId="496">
    <w:abstractNumId w:val="2"/>
  </w:num>
  <w:num w:numId="497">
    <w:abstractNumId w:val="2"/>
  </w:num>
  <w:num w:numId="498">
    <w:abstractNumId w:val="2"/>
  </w:num>
  <w:num w:numId="499">
    <w:abstractNumId w:val="2"/>
  </w:num>
  <w:num w:numId="500">
    <w:abstractNumId w:val="2"/>
  </w:num>
  <w:num w:numId="501">
    <w:abstractNumId w:val="2"/>
  </w:num>
  <w:num w:numId="502">
    <w:abstractNumId w:val="2"/>
  </w:num>
  <w:num w:numId="503">
    <w:abstractNumId w:val="1"/>
    <w:lvlOverride w:ilvl="0">
      <w:startOverride w:val="1"/>
    </w:lvlOverride>
  </w:num>
  <w:num w:numId="504">
    <w:abstractNumId w:val="1"/>
  </w:num>
  <w:num w:numId="505">
    <w:abstractNumId w:val="1"/>
  </w:num>
  <w:num w:numId="506">
    <w:abstractNumId w:val="2"/>
  </w:num>
  <w:num w:numId="507">
    <w:abstractNumId w:val="2"/>
  </w:num>
  <w:num w:numId="508">
    <w:abstractNumId w:val="2"/>
  </w:num>
  <w:num w:numId="509">
    <w:abstractNumId w:val="2"/>
  </w:num>
  <w:num w:numId="510">
    <w:abstractNumId w:val="2"/>
  </w:num>
  <w:num w:numId="511">
    <w:abstractNumId w:val="2"/>
  </w:num>
  <w:num w:numId="512">
    <w:abstractNumId w:val="1"/>
    <w:lvlOverride w:ilvl="0">
      <w:startOverride w:val="1"/>
    </w:lvlOverride>
  </w:num>
  <w:num w:numId="513">
    <w:abstractNumId w:val="1"/>
  </w:num>
  <w:num w:numId="514">
    <w:abstractNumId w:val="1"/>
  </w:num>
  <w:num w:numId="515">
    <w:abstractNumId w:val="2"/>
  </w:num>
  <w:num w:numId="516">
    <w:abstractNumId w:val="2"/>
  </w:num>
  <w:num w:numId="517">
    <w:abstractNumId w:val="2"/>
  </w:num>
  <w:num w:numId="518">
    <w:abstractNumId w:val="2"/>
  </w:num>
  <w:num w:numId="519">
    <w:abstractNumId w:val="2"/>
  </w:num>
  <w:num w:numId="520">
    <w:abstractNumId w:val="2"/>
  </w:num>
  <w:num w:numId="521">
    <w:abstractNumId w:val="1"/>
    <w:lvlOverride w:ilvl="0">
      <w:startOverride w:val="1"/>
    </w:lvlOverride>
  </w:num>
  <w:num w:numId="522">
    <w:abstractNumId w:val="1"/>
  </w:num>
  <w:num w:numId="523">
    <w:abstractNumId w:val="1"/>
  </w:num>
  <w:num w:numId="524">
    <w:abstractNumId w:val="1"/>
  </w:num>
  <w:num w:numId="525">
    <w:abstractNumId w:val="1"/>
  </w:num>
  <w:num w:numId="526">
    <w:abstractNumId w:val="2"/>
  </w:num>
  <w:num w:numId="527">
    <w:abstractNumId w:val="2"/>
  </w:num>
  <w:num w:numId="528">
    <w:abstractNumId w:val="2"/>
  </w:num>
  <w:num w:numId="529">
    <w:abstractNumId w:val="2"/>
  </w:num>
  <w:num w:numId="530">
    <w:abstractNumId w:val="2"/>
  </w:num>
  <w:num w:numId="531">
    <w:abstractNumId w:val="2"/>
  </w:num>
  <w:num w:numId="532">
    <w:abstractNumId w:val="2"/>
  </w:num>
  <w:num w:numId="533">
    <w:abstractNumId w:val="2"/>
  </w:num>
  <w:num w:numId="534">
    <w:abstractNumId w:val="2"/>
  </w:num>
  <w:num w:numId="535">
    <w:abstractNumId w:val="2"/>
  </w:num>
  <w:num w:numId="536">
    <w:abstractNumId w:val="2"/>
  </w:num>
  <w:num w:numId="537">
    <w:abstractNumId w:val="2"/>
  </w:num>
  <w:num w:numId="538">
    <w:abstractNumId w:val="2"/>
  </w:num>
  <w:num w:numId="539">
    <w:abstractNumId w:val="2"/>
  </w:num>
  <w:num w:numId="540">
    <w:abstractNumId w:val="2"/>
  </w:num>
  <w:num w:numId="541">
    <w:abstractNumId w:val="2"/>
  </w:num>
  <w:num w:numId="542">
    <w:abstractNumId w:val="2"/>
  </w:num>
  <w:num w:numId="543">
    <w:abstractNumId w:val="2"/>
  </w:num>
  <w:num w:numId="544">
    <w:abstractNumId w:val="2"/>
  </w:num>
  <w:num w:numId="545">
    <w:abstractNumId w:val="2"/>
  </w:num>
  <w:num w:numId="546">
    <w:abstractNumId w:val="2"/>
  </w:num>
  <w:num w:numId="547">
    <w:abstractNumId w:val="2"/>
  </w:num>
  <w:num w:numId="548">
    <w:abstractNumId w:val="2"/>
  </w:num>
  <w:num w:numId="549">
    <w:abstractNumId w:val="2"/>
  </w:num>
  <w:num w:numId="550">
    <w:abstractNumId w:val="2"/>
  </w:num>
  <w:num w:numId="551">
    <w:abstractNumId w:val="2"/>
  </w:num>
  <w:num w:numId="552">
    <w:abstractNumId w:val="2"/>
  </w:num>
  <w:num w:numId="553">
    <w:abstractNumId w:val="2"/>
  </w:num>
  <w:num w:numId="554">
    <w:abstractNumId w:val="2"/>
  </w:num>
  <w:num w:numId="555">
    <w:abstractNumId w:val="2"/>
  </w:num>
  <w:num w:numId="556">
    <w:abstractNumId w:val="2"/>
  </w:num>
  <w:num w:numId="557">
    <w:abstractNumId w:val="2"/>
  </w:num>
  <w:num w:numId="558">
    <w:abstractNumId w:val="1"/>
    <w:lvlOverride w:ilvl="0">
      <w:startOverride w:val="1"/>
    </w:lvlOverride>
  </w:num>
  <w:num w:numId="559">
    <w:abstractNumId w:val="1"/>
  </w:num>
  <w:num w:numId="560">
    <w:abstractNumId w:val="1"/>
  </w:num>
  <w:num w:numId="561">
    <w:abstractNumId w:val="1"/>
  </w:num>
  <w:num w:numId="562">
    <w:abstractNumId w:val="1"/>
  </w:num>
  <w:num w:numId="563">
    <w:abstractNumId w:val="1"/>
  </w:num>
  <w:num w:numId="564">
    <w:abstractNumId w:val="2"/>
  </w:num>
  <w:num w:numId="565">
    <w:abstractNumId w:val="2"/>
  </w:num>
  <w:num w:numId="566">
    <w:abstractNumId w:val="2"/>
  </w:num>
  <w:num w:numId="567">
    <w:abstractNumId w:val="1"/>
    <w:lvlOverride w:ilvl="0">
      <w:startOverride w:val="1"/>
    </w:lvlOverride>
  </w:num>
  <w:num w:numId="568">
    <w:abstractNumId w:val="1"/>
  </w:num>
  <w:num w:numId="569">
    <w:abstractNumId w:val="1"/>
  </w:num>
  <w:num w:numId="570">
    <w:abstractNumId w:val="1"/>
  </w:num>
  <w:num w:numId="571">
    <w:abstractNumId w:val="1"/>
  </w:num>
  <w:num w:numId="572">
    <w:abstractNumId w:val="1"/>
  </w:num>
  <w:num w:numId="573">
    <w:abstractNumId w:val="1"/>
  </w:num>
  <w:num w:numId="574">
    <w:abstractNumId w:val="1"/>
  </w:num>
  <w:num w:numId="575">
    <w:abstractNumId w:val="2"/>
  </w:num>
  <w:num w:numId="576">
    <w:abstractNumId w:val="2"/>
  </w:num>
  <w:num w:numId="577">
    <w:abstractNumId w:val="2"/>
  </w:num>
  <w:num w:numId="578">
    <w:abstractNumId w:val="2"/>
  </w:num>
  <w:num w:numId="579">
    <w:abstractNumId w:val="2"/>
  </w:num>
  <w:num w:numId="580">
    <w:abstractNumId w:val="2"/>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1"/>
        <w:szCs w:val="21"/>
        <w:lang w:val="fr-FR" w:eastAsia="en-US"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lineRule="auto" w:line="264" w:before="0" w:after="120"/>
      <w:jc w:val="left"/>
    </w:pPr>
    <w:rPr>
      <w:rFonts w:ascii="Calibri" w:hAnsi="Calibri" w:eastAsia="Calibri" w:cs="Calibri"/>
      <w:color w:val="auto"/>
      <w:kern w:val="0"/>
      <w:sz w:val="21"/>
      <w:szCs w:val="21"/>
      <w:lang w:val="fr-FR" w:eastAsia="en-US" w:bidi="ar-SA"/>
    </w:rPr>
  </w:style>
  <w:style w:type="paragraph" w:styleId="Heading1">
    <w:name w:val="Heading 1"/>
    <w:basedOn w:val="Normal"/>
    <w:next w:val="BodyText"/>
    <w:uiPriority w:val="9"/>
    <w:qFormat/>
    <w:pPr>
      <w:keepNext w:val="true"/>
      <w:keepLines/>
      <w:pageBreakBefore/>
      <w:pBdr>
        <w:bottom w:val="single" w:sz="12" w:space="6" w:color="2F5496"/>
      </w:pBdr>
      <w:spacing w:before="0" w:after="240"/>
      <w:outlineLvl w:val="0"/>
    </w:pPr>
    <w:rPr>
      <w:rFonts w:ascii="Calibri" w:hAnsi="Calibri" w:eastAsia="Calibri" w:cs="Calibri"/>
      <w:b/>
      <w:bCs/>
      <w:color w:val="1F3864"/>
      <w:sz w:val="40"/>
      <w:szCs w:val="40"/>
    </w:rPr>
  </w:style>
  <w:style w:type="paragraph" w:styleId="Heading2">
    <w:name w:val="Heading 2"/>
    <w:basedOn w:val="Normal"/>
    <w:next w:val="BodyText"/>
    <w:uiPriority w:val="9"/>
    <w:qFormat/>
    <w:pPr>
      <w:keepNext w:val="true"/>
      <w:keepLines/>
      <w:pBdr>
        <w:bottom w:val="single" w:sz="4" w:space="4" w:color="B4C6E7"/>
      </w:pBdr>
      <w:spacing w:before="360" w:after="120"/>
      <w:outlineLvl w:val="1"/>
    </w:pPr>
    <w:rPr>
      <w:rFonts w:ascii="Calibri" w:hAnsi="Calibri" w:eastAsia="Calibri" w:cs="Calibri"/>
      <w:b/>
      <w:bCs/>
      <w:color w:val="2F5496"/>
      <w:sz w:val="30"/>
      <w:szCs w:val="30"/>
    </w:rPr>
  </w:style>
  <w:style w:type="paragraph" w:styleId="Heading3">
    <w:name w:val="Heading 3"/>
    <w:basedOn w:val="Normal"/>
    <w:next w:val="BodyText"/>
    <w:uiPriority w:val="9"/>
    <w:qFormat/>
    <w:pPr>
      <w:keepNext w:val="true"/>
      <w:keepLines/>
      <w:spacing w:before="240" w:after="80"/>
      <w:outlineLvl w:val="2"/>
    </w:pPr>
    <w:rPr>
      <w:rFonts w:ascii="Calibri" w:hAnsi="Calibri" w:eastAsia="Calibri" w:cs="Calibri"/>
      <w:b/>
      <w:bCs/>
      <w:color w:val="2F5496"/>
      <w:sz w:val="25"/>
      <w:szCs w:val="25"/>
    </w:rPr>
  </w:style>
  <w:style w:type="paragraph" w:styleId="Heading4">
    <w:name w:val="Heading 4"/>
    <w:basedOn w:val="Normal"/>
    <w:next w:val="BodyText"/>
    <w:uiPriority w:val="9"/>
    <w:qFormat/>
    <w:pPr>
      <w:keepNext w:val="true"/>
      <w:keepLines/>
      <w:spacing w:before="200" w:after="60"/>
      <w:outlineLvl w:val="3"/>
    </w:pPr>
    <w:rPr>
      <w:rFonts w:ascii="Calibri" w:hAnsi="Calibri" w:eastAsia="Calibri" w:cs="Calibri"/>
      <w:b/>
      <w:bCs/>
      <w:color w:val="1F3864"/>
      <w:sz w:val="22"/>
      <w:szCs w:val="22"/>
    </w:rPr>
  </w:style>
  <w:style w:type="paragraph" w:styleId="Heading5">
    <w:name w:val="Heading 5"/>
    <w:basedOn w:val="Normal"/>
    <w:next w:val="BodyText"/>
    <w:uiPriority w:val="9"/>
    <w:qFormat/>
    <w:pPr>
      <w:keepNext w:val="true"/>
      <w:keepLines/>
      <w:spacing w:before="160" w:after="40"/>
      <w:outlineLvl w:val="4"/>
    </w:pPr>
    <w:rPr>
      <w:rFonts w:ascii="Calibri" w:hAnsi="Calibri" w:eastAsia="Calibri" w:cs="Calibri"/>
      <w:b/>
      <w:bCs/>
      <w:i/>
      <w:color w:val="404040"/>
      <w:sz w:val="21"/>
      <w:szCs w:val="21"/>
    </w:rPr>
  </w:style>
  <w:style w:type="paragraph" w:styleId="Heading6">
    <w:name w:val="Heading 6"/>
    <w:basedOn w:val="Normal"/>
    <w:next w:val="BodyText"/>
    <w:uiPriority w:val="9"/>
    <w:unhideWhenUsed/>
    <w:qFormat/>
    <w:pPr>
      <w:keepNext w:val="true"/>
      <w:keepLines/>
      <w:spacing w:before="200" w:after="0"/>
      <w:outlineLvl w:val="5"/>
    </w:pPr>
    <w:rPr>
      <w:rFonts w:ascii="Calibri" w:hAnsi="Calibri" w:eastAsia="" w:cs="" w:asciiTheme="majorHAnsi" w:cstheme="majorBidi" w:eastAsiaTheme="majorEastAsia" w:hAnsiTheme="majorHAnsi"/>
      <w:color w:themeColor="accent1" w:val="4F81BD"/>
      <w:sz w:val="24"/>
      <w:szCs w:val="24"/>
    </w:rPr>
  </w:style>
  <w:style w:type="paragraph" w:styleId="Heading7">
    <w:name w:val="Heading 7"/>
    <w:basedOn w:val="Normal"/>
    <w:next w:val="BodyText"/>
    <w:uiPriority w:val="9"/>
    <w:unhideWhenUsed/>
    <w:qFormat/>
    <w:pPr>
      <w:keepNext w:val="true"/>
      <w:keepLines/>
      <w:spacing w:before="200" w:after="0"/>
      <w:outlineLvl w:val="6"/>
    </w:pPr>
    <w:rPr>
      <w:rFonts w:ascii="Calibri" w:hAnsi="Calibri" w:eastAsia="" w:cs="" w:asciiTheme="majorHAnsi" w:cstheme="majorBidi" w:eastAsiaTheme="majorEastAsia" w:hAnsiTheme="majorHAnsi"/>
      <w:color w:themeColor="accent1" w:val="4F81BD"/>
      <w:sz w:val="24"/>
      <w:szCs w:val="24"/>
    </w:rPr>
  </w:style>
  <w:style w:type="paragraph" w:styleId="Heading8">
    <w:name w:val="Heading 8"/>
    <w:basedOn w:val="Normal"/>
    <w:next w:val="BodyText"/>
    <w:uiPriority w:val="9"/>
    <w:unhideWhenUsed/>
    <w:qFormat/>
    <w:pPr>
      <w:keepNext w:val="true"/>
      <w:keepLines/>
      <w:spacing w:before="200" w:after="0"/>
      <w:outlineLvl w:val="7"/>
    </w:pPr>
    <w:rPr>
      <w:rFonts w:ascii="Calibri" w:hAnsi="Calibri" w:eastAsia="" w:cs="" w:asciiTheme="majorHAnsi" w:cstheme="majorBidi" w:eastAsiaTheme="majorEastAsia" w:hAnsiTheme="majorHAnsi"/>
      <w:color w:themeColor="accent1" w:val="4F81BD"/>
      <w:sz w:val="24"/>
      <w:szCs w:val="24"/>
    </w:rPr>
  </w:style>
  <w:style w:type="paragraph" w:styleId="Heading9">
    <w:name w:val="Heading 9"/>
    <w:basedOn w:val="Normal"/>
    <w:next w:val="BodyText"/>
    <w:uiPriority w:val="9"/>
    <w:unhideWhenUsed/>
    <w:qFormat/>
    <w:pPr>
      <w:keepNext w:val="true"/>
      <w:keepLines/>
      <w:spacing w:before="200" w:after="0"/>
      <w:outlineLvl w:val="8"/>
    </w:pPr>
    <w:rPr>
      <w:rFonts w:ascii="Calibri" w:hAnsi="Calibri" w:eastAsia="" w:cs="" w:asciiTheme="majorHAnsi" w:cstheme="majorBidi" w:eastAsiaTheme="majorEastAsia" w:hAnsiTheme="majorHAnsi"/>
      <w:color w:themeColor="accent1" w:val="4F81BD"/>
      <w:sz w:val="24"/>
      <w:szCs w:val="24"/>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17"/>
      <w:szCs w:val="17"/>
      <w:shd w:fill="F0F0F0" w:val="clear"/>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qFormat/>
    <w:pPr>
      <w:spacing w:before="60" w:after="120"/>
    </w:pPr>
    <w:rPr/>
  </w:style>
  <w:style w:type="paragraph" w:styleId="List">
    <w:name w:val="List"/>
    <w:basedOn w:val="BodyText"/>
    <w:pPr/>
    <w:rPr>
      <w:rFonts w:cs="FreeSans"/>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cs="FreeSans"/>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0" w:after="30"/>
    </w:pPr>
    <w:rPr/>
  </w:style>
  <w:style w:type="paragraph" w:styleId="Title">
    <w:name w:val="Title"/>
    <w:basedOn w:val="Normal"/>
    <w:next w:val="BodyText"/>
    <w:qFormat/>
    <w:pPr>
      <w:spacing w:before="2400" w:after="240"/>
      <w:jc w:val="center"/>
    </w:pPr>
    <w:rPr>
      <w:rFonts w:ascii="Calibri" w:hAnsi="Calibri" w:eastAsia="Calibri" w:cs="Calibri"/>
      <w:b/>
      <w:color w:val="1F3864"/>
      <w:sz w:val="60"/>
      <w:szCs w:val="60"/>
    </w:rPr>
  </w:style>
  <w:style w:type="paragraph" w:styleId="Subtitle">
    <w:name w:val="Subtitle"/>
    <w:basedOn w:val="Normal"/>
    <w:next w:val="BodyText"/>
    <w:qFormat/>
    <w:pPr>
      <w:spacing w:before="120" w:after="480"/>
      <w:jc w:val="center"/>
    </w:pPr>
    <w:rPr>
      <w:rFonts w:ascii="Calibri" w:hAnsi="Calibri" w:eastAsia="Calibri" w:cs="Calibri"/>
      <w:color w:val="2F5496"/>
      <w:sz w:val="32"/>
      <w:szCs w:val="32"/>
    </w:rPr>
  </w:style>
  <w:style w:type="paragraph" w:styleId="Author">
    <w:name w:val="Author"/>
    <w:basedOn w:val="Normal"/>
    <w:next w:val="BodyText"/>
    <w:qFormat/>
    <w:pPr>
      <w:jc w:val="center"/>
    </w:pPr>
    <w:rPr>
      <w:color w:val="595959"/>
      <w:sz w:val="24"/>
    </w:rPr>
  </w:style>
  <w:style w:type="paragraph" w:styleId="Date">
    <w:name w:val="Date"/>
    <w:basedOn w:val="Normal"/>
    <w:next w:val="BodyText"/>
    <w:qFormat/>
    <w:pPr>
      <w:jc w:val="center"/>
    </w:pPr>
    <w:rPr>
      <w:color w:val="595959"/>
      <w:sz w:val="24"/>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spacing w:before="40" w:after="240"/>
      <w:jc w:val="center"/>
    </w:pPr>
    <w:rPr>
      <w:i/>
      <w:color w:val="595959"/>
      <w:sz w:val="17"/>
      <w:szCs w:val="17"/>
    </w:rPr>
  </w:style>
  <w:style w:type="paragraph" w:styleId="Figure" w:customStyle="1">
    <w:name w:val="Figure"/>
    <w:basedOn w:val="Normal"/>
    <w:qFormat/>
    <w:pPr>
      <w:keepNext w:val="true"/>
      <w:spacing w:before="120" w:after="0"/>
      <w:jc w:val="center"/>
    </w:pPr>
    <w:rPr/>
  </w:style>
  <w:style w:type="paragraph" w:styleId="CaptionedFigure" w:customStyle="1">
    <w:name w:val="Captioned Figure"/>
    <w:basedOn w:val="Figure"/>
    <w:qFormat/>
    <w:pPr>
      <w:keepNext w:val="true"/>
      <w:spacing w:before="120" w:after="0"/>
      <w:jc w:val="center"/>
    </w:pPr>
    <w:rPr/>
  </w:style>
  <w:style w:type="paragraph" w:styleId="IndexHeading">
    <w:name w:val="Index Heading"/>
    <w:basedOn w:val="Heading"/>
    <w:pPr/>
    <w:rPr/>
  </w:style>
  <w:style w:type="paragraph" w:styleId="TOCHeading">
    <w:name w:val="TOC Heading"/>
    <w:basedOn w:val="Heading1"/>
    <w:next w:val="BodyText"/>
    <w:uiPriority w:val="39"/>
    <w:unhideWhenUsed/>
    <w:qFormat/>
    <w:pPr>
      <w:pageBreakBefore/>
      <w:spacing w:lineRule="auto" w:line="259" w:before="240" w:after="240"/>
      <w:outlineLvl w:val="9"/>
    </w:pPr>
    <w:rPr>
      <w:rFonts w:ascii="Calibri" w:hAnsi="Calibri" w:eastAsia="" w:cs="" w:asciiTheme="majorHAnsi" w:cstheme="majorBidi" w:eastAsiaTheme="majorEastAsia" w:hAnsiTheme="majorHAnsi"/>
      <w:b w:val="false"/>
      <w:bCs w:val="false"/>
      <w:color w:themeColor="accent1" w:themeShade="bf" w:val="365F91"/>
    </w:rPr>
  </w:style>
  <w:style w:type="paragraph" w:styleId="EncadreInfo" w:customStyle="1">
    <w:name w:val="Encadre Info"/>
    <w:basedOn w:val="BodyText"/>
    <w:qFormat/>
    <w:pPr>
      <w:keepNext w:val="true"/>
      <w:keepLines/>
      <w:pBdr>
        <w:top w:val="single" w:sz="4" w:space="4" w:color="EAF1FB"/>
        <w:left w:val="single" w:sz="24" w:space="8" w:color="2F5496"/>
        <w:bottom w:val="single" w:sz="4" w:space="4" w:color="EAF1FB"/>
        <w:right w:val="single" w:sz="4" w:space="4" w:color="EAF1FB"/>
      </w:pBdr>
      <w:shd w:val="clear" w:color="auto" w:fill="EAF1FB"/>
      <w:spacing w:before="0" w:after="0"/>
      <w:ind w:left="240" w:right="120"/>
    </w:pPr>
    <w:rPr/>
  </w:style>
  <w:style w:type="paragraph" w:styleId="EncadreConseil" w:customStyle="1">
    <w:name w:val="Encadre Conseil"/>
    <w:basedOn w:val="BodyText"/>
    <w:qFormat/>
    <w:pPr>
      <w:keepNext w:val="true"/>
      <w:keepLines/>
      <w:pBdr>
        <w:top w:val="single" w:sz="4" w:space="4" w:color="E9F5EC"/>
        <w:left w:val="single" w:sz="24" w:space="8" w:color="2E7D32"/>
        <w:bottom w:val="single" w:sz="4" w:space="4" w:color="E9F5EC"/>
        <w:right w:val="single" w:sz="4" w:space="4" w:color="E9F5EC"/>
      </w:pBdr>
      <w:shd w:val="clear" w:color="auto" w:fill="E9F5EC"/>
      <w:spacing w:before="0" w:after="0"/>
      <w:ind w:left="240" w:right="120"/>
    </w:pPr>
    <w:rPr/>
  </w:style>
  <w:style w:type="paragraph" w:styleId="EncadreSucces" w:customStyle="1">
    <w:name w:val="Encadre Succes"/>
    <w:basedOn w:val="BodyText"/>
    <w:qFormat/>
    <w:pPr>
      <w:keepNext w:val="true"/>
      <w:keepLines/>
      <w:pBdr>
        <w:top w:val="single" w:sz="4" w:space="4" w:color="E9F5EC"/>
        <w:left w:val="single" w:sz="24" w:space="8" w:color="2E7D32"/>
        <w:bottom w:val="single" w:sz="4" w:space="4" w:color="E9F5EC"/>
        <w:right w:val="single" w:sz="4" w:space="4" w:color="E9F5EC"/>
      </w:pBdr>
      <w:shd w:val="clear" w:color="auto" w:fill="E9F5EC"/>
      <w:spacing w:before="0" w:after="0"/>
      <w:ind w:left="240" w:right="120"/>
    </w:pPr>
    <w:rPr/>
  </w:style>
  <w:style w:type="paragraph" w:styleId="EncadreAttention" w:customStyle="1">
    <w:name w:val="Encadre Attention"/>
    <w:basedOn w:val="BodyText"/>
    <w:qFormat/>
    <w:pPr>
      <w:keepNext w:val="true"/>
      <w:keepLines/>
      <w:pBdr>
        <w:top w:val="single" w:sz="4" w:space="4" w:color="FFF4E5"/>
        <w:left w:val="single" w:sz="24" w:space="8" w:color="E08A00"/>
        <w:bottom w:val="single" w:sz="4" w:space="4" w:color="FFF4E5"/>
        <w:right w:val="single" w:sz="4" w:space="4" w:color="FFF4E5"/>
      </w:pBdr>
      <w:shd w:val="clear" w:color="auto" w:fill="FFF4E5"/>
      <w:spacing w:before="0" w:after="0"/>
      <w:ind w:left="240" w:right="120"/>
    </w:pPr>
    <w:rPr/>
  </w:style>
  <w:style w:type="paragraph" w:styleId="EncadreDanger" w:customStyle="1">
    <w:name w:val="Encadre Danger"/>
    <w:basedOn w:val="BodyText"/>
    <w:qFormat/>
    <w:pPr>
      <w:keepNext w:val="true"/>
      <w:keepLines/>
      <w:pBdr>
        <w:top w:val="single" w:sz="4" w:space="4" w:color="FDECEC"/>
        <w:left w:val="single" w:sz="24" w:space="8" w:color="C62828"/>
        <w:bottom w:val="single" w:sz="4" w:space="4" w:color="FDECEC"/>
        <w:right w:val="single" w:sz="4" w:space="4" w:color="FDECEC"/>
      </w:pBdr>
      <w:shd w:val="clear" w:color="auto" w:fill="FDECEC"/>
      <w:spacing w:before="0" w:after="0"/>
      <w:ind w:left="240" w:right="120"/>
    </w:pPr>
    <w:rPr/>
  </w:style>
  <w:style w:type="paragraph" w:styleId="QuestionFAQ" w:customStyle="1">
    <w:name w:val="Question FAQ"/>
    <w:basedOn w:val="BodyText"/>
    <w:next w:val="BodyText"/>
    <w:qFormat/>
    <w:pPr>
      <w:keepNext w:val="true"/>
      <w:spacing w:before="240" w:after="60"/>
    </w:pPr>
    <w:rPr>
      <w:b/>
      <w:color w:val="1F3864"/>
      <w:sz w:val="22"/>
    </w:rPr>
  </w:style>
  <w:style w:type="paragraph" w:styleId="SourceCode" w:customStyle="1">
    <w:name w:val="Source Code"/>
    <w:basedOn w:val="Normal"/>
    <w:link w:val="VerbatimChar"/>
    <w:qFormat/>
    <w:pPr>
      <w:shd w:val="clear" w:color="auto" w:fill="F3F4F6"/>
      <w:spacing w:lineRule="auto" w:line="240" w:before="0" w:after="0"/>
      <w:ind w:left="120" w:right="120"/>
    </w:pPr>
    <w:rPr>
      <w:rFonts w:ascii="Consolas" w:hAnsi="Consolas" w:cs="Consolas"/>
      <w:sz w:val="17"/>
    </w:rPr>
  </w:style>
  <w:style w:type="paragraph" w:styleId="HeaderandFooter">
    <w:name w:val="Header and Footer"/>
    <w:basedOn w:val="Normal"/>
    <w:qFormat/>
    <w:pPr/>
    <w:rPr/>
  </w:style>
  <w:style w:type="paragraph" w:styleId="Footer">
    <w:name w:val="Footer"/>
    <w:basedOn w:val="HeaderandFooter"/>
    <w:pPr/>
    <w:rPr/>
  </w:style>
  <w:style w:type="paragraph" w:styleId="TOC1">
    <w:name w:val="TOC 1"/>
    <w:basedOn w:val="Index"/>
    <w:pPr>
      <w:tabs>
        <w:tab w:val="clear" w:pos="720"/>
        <w:tab w:val="right" w:pos="9638" w:leader="dot"/>
      </w:tabs>
      <w:ind w:hanging="0" w:left="0"/>
    </w:pPr>
    <w:rPr/>
  </w:style>
  <w:style w:type="paragraph" w:styleId="TOC2">
    <w:name w:val="TOC 2"/>
    <w:basedOn w:val="Index"/>
    <w:pPr>
      <w:tabs>
        <w:tab w:val="clear" w:pos="720"/>
        <w:tab w:val="right" w:pos="9355" w:leader="dot"/>
      </w:tabs>
      <w:ind w:hanging="0" w:left="283"/>
    </w:pPr>
    <w:rPr/>
  </w:style>
  <w:style w:type="table" w:default="1" w:styleId="Table">
    <w:name w:val="Table"/>
    <w:basedOn w:val="TableNormal"/>
    <w:qFormat/>
    <w:pPr>
      <w:spacing w:before="40" w:after="40"/>
    </w:pPr>
    <w:rPr>
      <w:sz w:val="19"/>
      <w:szCs w:val="19"/>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50" w:type="dxa"/>
        <w:left w:w="100" w:type="dxa"/>
        <w:bottom w:w="50" w:type="dxa"/>
        <w:right w:w="100" w:type="dxa"/>
      </w:tblCellMar>
    </w:tblPr>
    <w:tblStylePr w:type="firstRow">
      <w:rPr>
        <w:b/>
      </w:rPr>
      <w:tblPr/>
      <w:tcPr>
        <w:shd w:val="clear" w:color="auto" w:fill="2F5496"/>
        <w:vAlign w:val="center"/>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pn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image" Target="media/image16.jpeg"/><Relationship Id="rId18" Type="http://schemas.openxmlformats.org/officeDocument/2006/relationships/image" Target="media/image17.jpeg"/><Relationship Id="rId19" Type="http://schemas.openxmlformats.org/officeDocument/2006/relationships/image" Target="media/image18.jpeg"/><Relationship Id="rId20" Type="http://schemas.openxmlformats.org/officeDocument/2006/relationships/image" Target="media/image19.jpeg"/><Relationship Id="rId21" Type="http://schemas.openxmlformats.org/officeDocument/2006/relationships/image" Target="media/image20.jpeg"/><Relationship Id="rId22" Type="http://schemas.openxmlformats.org/officeDocument/2006/relationships/image" Target="media/image21.jpeg"/><Relationship Id="rId23" Type="http://schemas.openxmlformats.org/officeDocument/2006/relationships/image" Target="media/image22.jpeg"/><Relationship Id="rId24" Type="http://schemas.openxmlformats.org/officeDocument/2006/relationships/image" Target="media/image23.jpeg"/><Relationship Id="rId25" Type="http://schemas.openxmlformats.org/officeDocument/2006/relationships/image" Target="media/image24.jpeg"/><Relationship Id="rId26" Type="http://schemas.openxmlformats.org/officeDocument/2006/relationships/image" Target="media/image25.jpeg"/><Relationship Id="rId27" Type="http://schemas.openxmlformats.org/officeDocument/2006/relationships/image" Target="media/image26.jpeg"/><Relationship Id="rId28" Type="http://schemas.openxmlformats.org/officeDocument/2006/relationships/image" Target="media/image27.jpeg"/><Relationship Id="rId29" Type="http://schemas.openxmlformats.org/officeDocument/2006/relationships/image" Target="media/image28.jpeg"/><Relationship Id="rId30" Type="http://schemas.openxmlformats.org/officeDocument/2006/relationships/image" Target="media/image29.jpeg"/><Relationship Id="rId31" Type="http://schemas.openxmlformats.org/officeDocument/2006/relationships/image" Target="media/image30.jpeg"/><Relationship Id="rId32" Type="http://schemas.openxmlformats.org/officeDocument/2006/relationships/image" Target="media/image31.jpeg"/><Relationship Id="rId33" Type="http://schemas.openxmlformats.org/officeDocument/2006/relationships/image" Target="media/image32.jpeg"/><Relationship Id="rId34" Type="http://schemas.openxmlformats.org/officeDocument/2006/relationships/image" Target="media/image33.jpeg"/><Relationship Id="rId35" Type="http://schemas.openxmlformats.org/officeDocument/2006/relationships/image" Target="media/image34.jpeg"/><Relationship Id="rId36" Type="http://schemas.openxmlformats.org/officeDocument/2006/relationships/image" Target="media/image35.jpeg"/><Relationship Id="rId37" Type="http://schemas.openxmlformats.org/officeDocument/2006/relationships/image" Target="media/image36.jpeg"/><Relationship Id="rId38" Type="http://schemas.openxmlformats.org/officeDocument/2006/relationships/image" Target="media/image37.jpeg"/><Relationship Id="rId39" Type="http://schemas.openxmlformats.org/officeDocument/2006/relationships/image" Target="media/image38.jpeg"/><Relationship Id="rId40" Type="http://schemas.openxmlformats.org/officeDocument/2006/relationships/image" Target="media/image39.jpeg"/><Relationship Id="rId41" Type="http://schemas.openxmlformats.org/officeDocument/2006/relationships/image" Target="media/image40.jpeg"/><Relationship Id="rId42" Type="http://schemas.openxmlformats.org/officeDocument/2006/relationships/image" Target="media/image41.jpeg"/><Relationship Id="rId43" Type="http://schemas.openxmlformats.org/officeDocument/2006/relationships/image" Target="media/image42.jpeg"/><Relationship Id="rId44" Type="http://schemas.openxmlformats.org/officeDocument/2006/relationships/image" Target="media/image43.jpeg"/><Relationship Id="rId45" Type="http://schemas.openxmlformats.org/officeDocument/2006/relationships/image" Target="media/image44.jpeg"/><Relationship Id="rId46" Type="http://schemas.openxmlformats.org/officeDocument/2006/relationships/image" Target="media/image45.jpeg"/><Relationship Id="rId47" Type="http://schemas.openxmlformats.org/officeDocument/2006/relationships/image" Target="media/image46.jpeg"/><Relationship Id="rId48" Type="http://schemas.openxmlformats.org/officeDocument/2006/relationships/image" Target="media/image47.jpeg"/><Relationship Id="rId49" Type="http://schemas.openxmlformats.org/officeDocument/2006/relationships/image" Target="media/image48.jpeg"/><Relationship Id="rId50" Type="http://schemas.openxmlformats.org/officeDocument/2006/relationships/image" Target="media/image49.jpeg"/><Relationship Id="rId51" Type="http://schemas.openxmlformats.org/officeDocument/2006/relationships/image" Target="media/image50.jpeg"/><Relationship Id="rId52" Type="http://schemas.openxmlformats.org/officeDocument/2006/relationships/image" Target="media/image51.jpeg"/><Relationship Id="rId53" Type="http://schemas.openxmlformats.org/officeDocument/2006/relationships/image" Target="media/image52.jpeg"/><Relationship Id="rId54" Type="http://schemas.openxmlformats.org/officeDocument/2006/relationships/image" Target="media/image53.jpeg"/><Relationship Id="rId55" Type="http://schemas.openxmlformats.org/officeDocument/2006/relationships/image" Target="media/image54.jpeg"/><Relationship Id="rId56" Type="http://schemas.openxmlformats.org/officeDocument/2006/relationships/image" Target="media/image55.jpeg"/><Relationship Id="rId57" Type="http://schemas.openxmlformats.org/officeDocument/2006/relationships/image" Target="media/image56.jpeg"/><Relationship Id="rId58" Type="http://schemas.openxmlformats.org/officeDocument/2006/relationships/image" Target="media/image57.jpeg"/><Relationship Id="rId59" Type="http://schemas.openxmlformats.org/officeDocument/2006/relationships/image" Target="media/image58.jpeg"/><Relationship Id="rId60" Type="http://schemas.openxmlformats.org/officeDocument/2006/relationships/image" Target="media/image59.jpeg"/><Relationship Id="rId61" Type="http://schemas.openxmlformats.org/officeDocument/2006/relationships/image" Target="media/image60.png"/><Relationship Id="rId62" Type="http://schemas.openxmlformats.org/officeDocument/2006/relationships/image" Target="media/image61.jpeg"/><Relationship Id="rId63" Type="http://schemas.openxmlformats.org/officeDocument/2006/relationships/image" Target="media/image62.jpeg"/><Relationship Id="rId64" Type="http://schemas.openxmlformats.org/officeDocument/2006/relationships/image" Target="media/image63.jpeg"/><Relationship Id="rId65" Type="http://schemas.openxmlformats.org/officeDocument/2006/relationships/image" Target="media/image64.jpeg"/><Relationship Id="rId66" Type="http://schemas.openxmlformats.org/officeDocument/2006/relationships/image" Target="media/image65.jpeg"/><Relationship Id="rId67" Type="http://schemas.openxmlformats.org/officeDocument/2006/relationships/image" Target="media/image66.jpeg"/><Relationship Id="rId68" Type="http://schemas.openxmlformats.org/officeDocument/2006/relationships/image" Target="media/image67.jpeg"/><Relationship Id="rId69" Type="http://schemas.openxmlformats.org/officeDocument/2006/relationships/image" Target="media/image68.jpeg"/><Relationship Id="rId70" Type="http://schemas.openxmlformats.org/officeDocument/2006/relationships/image" Target="media/image69.png"/><Relationship Id="rId71" Type="http://schemas.openxmlformats.org/officeDocument/2006/relationships/image" Target="media/image70.jpeg"/><Relationship Id="rId72" Type="http://schemas.openxmlformats.org/officeDocument/2006/relationships/image" Target="media/image71.jpeg"/><Relationship Id="rId73" Type="http://schemas.openxmlformats.org/officeDocument/2006/relationships/image" Target="media/image72.jpeg"/><Relationship Id="rId74" Type="http://schemas.openxmlformats.org/officeDocument/2006/relationships/image" Target="media/image73.jpeg"/><Relationship Id="rId75" Type="http://schemas.openxmlformats.org/officeDocument/2006/relationships/image" Target="media/image74.jpeg"/><Relationship Id="rId76" Type="http://schemas.openxmlformats.org/officeDocument/2006/relationships/image" Target="media/image75.jpeg"/><Relationship Id="rId77" Type="http://schemas.openxmlformats.org/officeDocument/2006/relationships/image" Target="media/image76.jpeg"/><Relationship Id="rId78" Type="http://schemas.openxmlformats.org/officeDocument/2006/relationships/image" Target="media/image77.png"/><Relationship Id="rId79" Type="http://schemas.openxmlformats.org/officeDocument/2006/relationships/image" Target="media/image78.jpeg"/><Relationship Id="rId80" Type="http://schemas.openxmlformats.org/officeDocument/2006/relationships/image" Target="media/image79.jpeg"/><Relationship Id="rId81" Type="http://schemas.openxmlformats.org/officeDocument/2006/relationships/image" Target="media/image80.jpeg"/><Relationship Id="rId82" Type="http://schemas.openxmlformats.org/officeDocument/2006/relationships/image" Target="media/image81.jpeg"/><Relationship Id="rId83" Type="http://schemas.openxmlformats.org/officeDocument/2006/relationships/image" Target="media/image82.jpeg"/><Relationship Id="rId84" Type="http://schemas.openxmlformats.org/officeDocument/2006/relationships/image" Target="media/image83.jpeg"/><Relationship Id="rId85" Type="http://schemas.openxmlformats.org/officeDocument/2006/relationships/image" Target="media/image84.jpeg"/><Relationship Id="rId86" Type="http://schemas.openxmlformats.org/officeDocument/2006/relationships/image" Target="media/image85.jpeg"/><Relationship Id="rId87" Type="http://schemas.openxmlformats.org/officeDocument/2006/relationships/image" Target="media/image86.jpeg"/><Relationship Id="rId88" Type="http://schemas.openxmlformats.org/officeDocument/2006/relationships/image" Target="media/image87.jpeg"/><Relationship Id="rId89" Type="http://schemas.openxmlformats.org/officeDocument/2006/relationships/image" Target="media/image88.jpeg"/><Relationship Id="rId90" Type="http://schemas.openxmlformats.org/officeDocument/2006/relationships/image" Target="media/image89.jpeg"/><Relationship Id="rId91" Type="http://schemas.openxmlformats.org/officeDocument/2006/relationships/image" Target="media/image90.jpeg"/><Relationship Id="rId92" Type="http://schemas.openxmlformats.org/officeDocument/2006/relationships/image" Target="media/image91.jpeg"/><Relationship Id="rId93" Type="http://schemas.openxmlformats.org/officeDocument/2006/relationships/image" Target="media/image92.jpeg"/><Relationship Id="rId94" Type="http://schemas.openxmlformats.org/officeDocument/2006/relationships/image" Target="media/image93.jpeg"/><Relationship Id="rId95" Type="http://schemas.openxmlformats.org/officeDocument/2006/relationships/image" Target="media/image94.jpeg"/><Relationship Id="rId96" Type="http://schemas.openxmlformats.org/officeDocument/2006/relationships/image" Target="media/image95.jpeg"/><Relationship Id="rId97" Type="http://schemas.openxmlformats.org/officeDocument/2006/relationships/image" Target="media/image96.jpeg"/><Relationship Id="rId98" Type="http://schemas.openxmlformats.org/officeDocument/2006/relationships/image" Target="media/image97.jpeg"/><Relationship Id="rId99" Type="http://schemas.openxmlformats.org/officeDocument/2006/relationships/image" Target="media/image98.jpeg"/><Relationship Id="rId100" Type="http://schemas.openxmlformats.org/officeDocument/2006/relationships/image" Target="media/image99.jpeg"/><Relationship Id="rId101" Type="http://schemas.openxmlformats.org/officeDocument/2006/relationships/image" Target="media/image100.jpeg"/><Relationship Id="rId102" Type="http://schemas.openxmlformats.org/officeDocument/2006/relationships/image" Target="media/image101.jpeg"/><Relationship Id="rId103" Type="http://schemas.openxmlformats.org/officeDocument/2006/relationships/image" Target="media/image102.jpeg"/><Relationship Id="rId104" Type="http://schemas.openxmlformats.org/officeDocument/2006/relationships/image" Target="media/image103.jpeg"/><Relationship Id="rId105" Type="http://schemas.openxmlformats.org/officeDocument/2006/relationships/image" Target="media/image104.jpeg"/><Relationship Id="rId106" Type="http://schemas.openxmlformats.org/officeDocument/2006/relationships/image" Target="media/image105.jpeg"/><Relationship Id="rId107" Type="http://schemas.openxmlformats.org/officeDocument/2006/relationships/image" Target="media/image106.jpeg"/><Relationship Id="rId108" Type="http://schemas.openxmlformats.org/officeDocument/2006/relationships/image" Target="media/image107.jpeg"/><Relationship Id="rId109" Type="http://schemas.openxmlformats.org/officeDocument/2006/relationships/image" Target="media/image108.jpeg"/><Relationship Id="rId110" Type="http://schemas.openxmlformats.org/officeDocument/2006/relationships/image" Target="media/image109.jpeg"/><Relationship Id="rId111" Type="http://schemas.openxmlformats.org/officeDocument/2006/relationships/image" Target="media/image110.jpeg"/><Relationship Id="rId112" Type="http://schemas.openxmlformats.org/officeDocument/2006/relationships/image" Target="media/image111.jpeg"/><Relationship Id="rId113" Type="http://schemas.openxmlformats.org/officeDocument/2006/relationships/image" Target="media/image112.jpeg"/><Relationship Id="rId114" Type="http://schemas.openxmlformats.org/officeDocument/2006/relationships/image" Target="media/image113.jpeg"/><Relationship Id="rId115" Type="http://schemas.openxmlformats.org/officeDocument/2006/relationships/image" Target="media/image114.jpeg"/><Relationship Id="rId116" Type="http://schemas.openxmlformats.org/officeDocument/2006/relationships/image" Target="media/image115.jpeg"/><Relationship Id="rId117" Type="http://schemas.openxmlformats.org/officeDocument/2006/relationships/image" Target="media/image116.jpeg"/><Relationship Id="rId118" Type="http://schemas.openxmlformats.org/officeDocument/2006/relationships/image" Target="media/image117.png"/><Relationship Id="rId119" Type="http://schemas.openxmlformats.org/officeDocument/2006/relationships/image" Target="media/image118.png"/><Relationship Id="rId120" Type="http://schemas.openxmlformats.org/officeDocument/2006/relationships/footer" Target="footer1.xml"/><Relationship Id="rId121" Type="http://schemas.openxmlformats.org/officeDocument/2006/relationships/footer" Target="footer2.xml"/><Relationship Id="rId122" Type="http://schemas.openxmlformats.org/officeDocument/2006/relationships/footer" Target="footer3.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LibreOffice/24.2.7.2$Linux_X86_64 LibreOffice_project/420$Build-2</Application>
  <AppVersion>15.0000</AppVersion>
  <Pages>124</Pages>
  <Words>21343</Words>
  <Characters>121940</Characters>
  <CharactersWithSpaces>140981</CharactersWithSpaces>
  <Paragraphs>2520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2026-10-16T13:09:23Z</dcterms:created>
  <dc:creator>Plateforme SmartCampus</dc:creator>
  <dc:description/>
  <dc:language>fr-FR</dc:language>
  <cp:lastModifiedBy/>
  <dcterms:modified xsi:type="dcterms:W3CDTF">2026-10-16T15:09:43Z</dcterms:modified>
  <cp:revision>1</cp:revision>
  <dc:subject/>
  <dc:title>SmartCampus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Version d’octobre 2026</vt:lpwstr>
  </property>
  <property fmtid="{D5CDD505-2E9C-101B-9397-08002B2CF9AE}" pid="3" name="subtitle">
    <vt:lpwstr>Documentation complète : guide d’utilisation, installation et développement</vt:lpwstr>
  </property>
  <property fmtid="{D5CDD505-2E9C-101B-9397-08002B2CF9AE}" pid="4" name="toc-title">
    <vt:lpwstr>Sommaire</vt:lpwstr>
  </property>
</Properties>
</file>